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Layout w:type="fixed"/>
        <w:tblLook w:val="04A0" w:firstRow="1" w:lastRow="0" w:firstColumn="1" w:lastColumn="0" w:noHBand="0" w:noVBand="1"/>
      </w:tblPr>
      <w:tblGrid>
        <w:gridCol w:w="675"/>
        <w:gridCol w:w="142"/>
        <w:gridCol w:w="709"/>
        <w:gridCol w:w="32"/>
        <w:gridCol w:w="7055"/>
        <w:gridCol w:w="1134"/>
        <w:gridCol w:w="993"/>
      </w:tblGrid>
      <w:tr w:rsidR="00822AE6" w:rsidRPr="00F13F40" w:rsidTr="00F61E7D">
        <w:trPr>
          <w:trHeight w:val="670"/>
        </w:trPr>
        <w:tc>
          <w:tcPr>
            <w:tcW w:w="817" w:type="dxa"/>
            <w:gridSpan w:val="2"/>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091D79" w:rsidRPr="00F13F40" w:rsidRDefault="00091D79" w:rsidP="009F2966">
            <w:pPr>
              <w:jc w:val="right"/>
              <w:rPr>
                <w:rFonts w:ascii="Arial" w:hAnsi="Arial" w:cs="Arial"/>
                <w:b/>
                <w:sz w:val="28"/>
                <w:szCs w:val="28"/>
              </w:rPr>
            </w:pPr>
            <w:r w:rsidRPr="00F13F40">
              <w:rPr>
                <w:rFonts w:ascii="Arial" w:hAnsi="Arial" w:cs="Arial"/>
                <w:b/>
                <w:sz w:val="28"/>
                <w:szCs w:val="28"/>
              </w:rPr>
              <w:t>TP n°</w:t>
            </w:r>
          </w:p>
        </w:tc>
        <w:tc>
          <w:tcPr>
            <w:tcW w:w="709"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091D79" w:rsidRPr="00F13F40" w:rsidRDefault="00A809C8" w:rsidP="00984F4B">
            <w:pPr>
              <w:rPr>
                <w:rFonts w:ascii="Arial" w:hAnsi="Arial" w:cs="Arial"/>
                <w:b/>
                <w:sz w:val="40"/>
                <w:szCs w:val="40"/>
              </w:rPr>
            </w:pPr>
            <w:r>
              <w:rPr>
                <w:rFonts w:ascii="Arial" w:hAnsi="Arial" w:cs="Arial"/>
                <w:b/>
                <w:sz w:val="40"/>
                <w:szCs w:val="40"/>
              </w:rPr>
              <w:t>9</w:t>
            </w:r>
          </w:p>
        </w:tc>
        <w:tc>
          <w:tcPr>
            <w:tcW w:w="7087" w:type="dxa"/>
            <w:gridSpan w:val="2"/>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091D79" w:rsidRDefault="00C00FA1" w:rsidP="004070AE">
            <w:pPr>
              <w:jc w:val="center"/>
              <w:rPr>
                <w:rFonts w:ascii="Arial" w:hAnsi="Arial" w:cs="Arial"/>
                <w:b/>
                <w:smallCaps/>
                <w:sz w:val="56"/>
                <w:szCs w:val="72"/>
              </w:rPr>
            </w:pPr>
            <w:r>
              <w:rPr>
                <w:rFonts w:ascii="Arial" w:hAnsi="Arial" w:cs="Arial"/>
                <w:b/>
                <w:smallCaps/>
                <w:sz w:val="56"/>
                <w:szCs w:val="72"/>
              </w:rPr>
              <w:t>Le microbiote humain :</w:t>
            </w:r>
          </w:p>
          <w:p w:rsidR="00C00FA1" w:rsidRPr="00A809C8" w:rsidRDefault="00A809C8" w:rsidP="00A809C8">
            <w:pPr>
              <w:jc w:val="center"/>
              <w:rPr>
                <w:rFonts w:ascii="Arial" w:hAnsi="Arial" w:cs="Arial"/>
                <w:b/>
                <w:smallCaps/>
                <w:sz w:val="40"/>
                <w:szCs w:val="40"/>
              </w:rPr>
            </w:pPr>
            <w:r w:rsidRPr="00A809C8">
              <w:rPr>
                <w:rFonts w:ascii="Arial" w:hAnsi="Arial" w:cs="Arial"/>
                <w:b/>
                <w:smallCaps/>
                <w:sz w:val="40"/>
                <w:szCs w:val="40"/>
              </w:rPr>
              <w:t>effets sur la digestion et l’immunité</w:t>
            </w:r>
          </w:p>
        </w:tc>
        <w:tc>
          <w:tcPr>
            <w:tcW w:w="1134" w:type="dxa"/>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091D79" w:rsidRPr="00F13F40" w:rsidRDefault="00822AE6" w:rsidP="00822AE6">
            <w:pPr>
              <w:jc w:val="center"/>
              <w:rPr>
                <w:rFonts w:ascii="Arial" w:hAnsi="Arial" w:cs="Arial"/>
                <w:b/>
                <w:sz w:val="24"/>
                <w:szCs w:val="24"/>
              </w:rPr>
            </w:pPr>
            <w:r w:rsidRPr="00F13F40">
              <w:rPr>
                <w:rFonts w:ascii="Arial" w:hAnsi="Arial" w:cs="Arial"/>
                <w:b/>
                <w:sz w:val="24"/>
                <w:szCs w:val="24"/>
              </w:rPr>
              <w:t>Durée :</w:t>
            </w:r>
          </w:p>
        </w:tc>
        <w:tc>
          <w:tcPr>
            <w:tcW w:w="993"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091D79" w:rsidRPr="00F13F40" w:rsidRDefault="00822AE6" w:rsidP="00822AE6">
            <w:pPr>
              <w:rPr>
                <w:rFonts w:ascii="Arial" w:hAnsi="Arial" w:cs="Arial"/>
                <w:b/>
                <w:sz w:val="24"/>
                <w:szCs w:val="24"/>
              </w:rPr>
            </w:pPr>
            <w:r w:rsidRPr="00F13F40">
              <w:rPr>
                <w:rFonts w:ascii="Arial" w:hAnsi="Arial" w:cs="Arial"/>
                <w:b/>
                <w:sz w:val="24"/>
                <w:szCs w:val="24"/>
              </w:rPr>
              <w:t>1 h</w:t>
            </w:r>
            <w:r w:rsidR="00F61E7D" w:rsidRPr="00F13F40">
              <w:rPr>
                <w:rFonts w:ascii="Arial" w:hAnsi="Arial" w:cs="Arial"/>
                <w:b/>
                <w:sz w:val="24"/>
                <w:szCs w:val="24"/>
              </w:rPr>
              <w:t>30</w:t>
            </w:r>
          </w:p>
        </w:tc>
      </w:tr>
      <w:tr w:rsidR="00822AE6" w:rsidRPr="00F13F40" w:rsidTr="00F61E7D">
        <w:trPr>
          <w:trHeight w:val="390"/>
        </w:trPr>
        <w:tc>
          <w:tcPr>
            <w:tcW w:w="675" w:type="dxa"/>
            <w:tcBorders>
              <w:top w:val="single" w:sz="18" w:space="0" w:color="000000" w:themeColor="text1"/>
              <w:left w:val="single" w:sz="18" w:space="0" w:color="000000" w:themeColor="text1"/>
              <w:bottom w:val="single" w:sz="18" w:space="0" w:color="000000" w:themeColor="text1"/>
              <w:right w:val="nil"/>
            </w:tcBorders>
            <w:shd w:val="clear" w:color="auto" w:fill="auto"/>
            <w:vAlign w:val="center"/>
          </w:tcPr>
          <w:p w:rsidR="00822AE6" w:rsidRPr="00F13F40" w:rsidRDefault="00822AE6" w:rsidP="00C74BB7">
            <w:pPr>
              <w:jc w:val="center"/>
              <w:rPr>
                <w:rFonts w:ascii="Arial" w:hAnsi="Arial" w:cs="Arial"/>
                <w:b/>
                <w:sz w:val="28"/>
              </w:rPr>
            </w:pPr>
            <w:r w:rsidRPr="00F13F40">
              <w:rPr>
                <w:rFonts w:ascii="Arial" w:hAnsi="Arial" w:cs="Arial"/>
                <w:b/>
                <w:sz w:val="28"/>
              </w:rPr>
              <w:t>SVT</w:t>
            </w:r>
          </w:p>
        </w:tc>
        <w:tc>
          <w:tcPr>
            <w:tcW w:w="851" w:type="dxa"/>
            <w:gridSpan w:val="2"/>
            <w:tcBorders>
              <w:top w:val="single" w:sz="18" w:space="0" w:color="000000" w:themeColor="text1"/>
              <w:left w:val="nil"/>
              <w:bottom w:val="single" w:sz="18" w:space="0" w:color="000000" w:themeColor="text1"/>
              <w:right w:val="single" w:sz="18" w:space="0" w:color="000000" w:themeColor="text1"/>
            </w:tcBorders>
            <w:shd w:val="clear" w:color="auto" w:fill="auto"/>
            <w:vAlign w:val="center"/>
          </w:tcPr>
          <w:p w:rsidR="00822AE6" w:rsidRPr="00F13F40" w:rsidRDefault="00672C11" w:rsidP="009F2966">
            <w:pPr>
              <w:jc w:val="center"/>
              <w:rPr>
                <w:rFonts w:ascii="Arial" w:hAnsi="Arial" w:cs="Arial"/>
                <w:b/>
                <w:sz w:val="48"/>
              </w:rPr>
            </w:pPr>
            <w:r w:rsidRPr="00F13F40">
              <w:rPr>
                <w:rFonts w:ascii="Arial" w:hAnsi="Arial" w:cs="Arial"/>
                <w:b/>
                <w:sz w:val="18"/>
              </w:rPr>
              <w:t>biol</w:t>
            </w:r>
            <w:r w:rsidRPr="00F13F40">
              <w:rPr>
                <w:rFonts w:ascii="Arial" w:hAnsi="Arial" w:cs="Arial"/>
                <w:b/>
                <w:sz w:val="18"/>
              </w:rPr>
              <w:t>o</w:t>
            </w:r>
            <w:r w:rsidRPr="00F13F40">
              <w:rPr>
                <w:rFonts w:ascii="Arial" w:hAnsi="Arial" w:cs="Arial"/>
                <w:b/>
                <w:sz w:val="18"/>
              </w:rPr>
              <w:t>gie</w:t>
            </w:r>
          </w:p>
        </w:tc>
        <w:tc>
          <w:tcPr>
            <w:tcW w:w="7087" w:type="dxa"/>
            <w:gridSpan w:val="2"/>
            <w:vMerge/>
            <w:tcBorders>
              <w:top w:val="nil"/>
              <w:left w:val="single" w:sz="18" w:space="0" w:color="000000" w:themeColor="text1"/>
              <w:bottom w:val="single" w:sz="2" w:space="0" w:color="000000" w:themeColor="text1"/>
              <w:right w:val="single" w:sz="18" w:space="0" w:color="000000" w:themeColor="text1"/>
            </w:tcBorders>
            <w:shd w:val="clear" w:color="auto" w:fill="auto"/>
            <w:vAlign w:val="center"/>
          </w:tcPr>
          <w:p w:rsidR="00822AE6" w:rsidRPr="00F13F40" w:rsidRDefault="00822AE6" w:rsidP="00C74BB7">
            <w:pPr>
              <w:rPr>
                <w:rFonts w:ascii="Arial" w:hAnsi="Arial" w:cs="Arial"/>
              </w:rPr>
            </w:pPr>
          </w:p>
        </w:tc>
        <w:tc>
          <w:tcPr>
            <w:tcW w:w="212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A24A8A" w:rsidRPr="00F13F40" w:rsidRDefault="00A24A8A" w:rsidP="00A24A8A">
            <w:pPr>
              <w:ind w:right="34"/>
              <w:jc w:val="center"/>
              <w:rPr>
                <w:rFonts w:ascii="Arial" w:hAnsi="Arial" w:cs="Arial"/>
                <w:b/>
                <w:sz w:val="36"/>
              </w:rPr>
            </w:pPr>
          </w:p>
        </w:tc>
      </w:tr>
      <w:tr w:rsidR="005D19FE" w:rsidRPr="00F13F40" w:rsidTr="00F61E7D">
        <w:tc>
          <w:tcPr>
            <w:tcW w:w="10740" w:type="dxa"/>
            <w:gridSpan w:val="7"/>
            <w:tcBorders>
              <w:top w:val="single" w:sz="18" w:space="0" w:color="000000" w:themeColor="text1"/>
              <w:left w:val="nil"/>
              <w:bottom w:val="nil"/>
              <w:right w:val="nil"/>
            </w:tcBorders>
            <w:shd w:val="clear" w:color="auto" w:fill="auto"/>
          </w:tcPr>
          <w:p w:rsidR="005D19FE" w:rsidRPr="00F13F40" w:rsidRDefault="007165AB" w:rsidP="007F5BF5">
            <w:pPr>
              <w:jc w:val="center"/>
              <w:rPr>
                <w:rFonts w:ascii="Arial" w:hAnsi="Arial" w:cs="Arial"/>
                <w:b/>
                <w:smallCaps/>
                <w:color w:val="404040" w:themeColor="text1" w:themeTint="BF"/>
                <w:sz w:val="32"/>
              </w:rPr>
            </w:pPr>
            <w:r w:rsidRPr="00F13F40">
              <w:rPr>
                <w:rFonts w:ascii="Arial" w:hAnsi="Arial" w:cs="Arial"/>
                <w:b/>
                <w:smallCaps/>
                <w:color w:val="404040" w:themeColor="text1" w:themeTint="BF"/>
                <w:sz w:val="32"/>
              </w:rPr>
              <w:t>Thème</w:t>
            </w:r>
            <w:r w:rsidR="00F85352" w:rsidRPr="00F13F40">
              <w:rPr>
                <w:rFonts w:ascii="Arial" w:hAnsi="Arial" w:cs="Arial"/>
                <w:b/>
                <w:smallCaps/>
                <w:color w:val="404040" w:themeColor="text1" w:themeTint="BF"/>
                <w:sz w:val="32"/>
              </w:rPr>
              <w:t xml:space="preserve"> </w:t>
            </w:r>
            <w:r w:rsidR="007F5BF5" w:rsidRPr="00F13F40">
              <w:rPr>
                <w:rFonts w:ascii="Arial" w:hAnsi="Arial" w:cs="Arial"/>
                <w:b/>
                <w:smallCaps/>
                <w:color w:val="404040" w:themeColor="text1" w:themeTint="BF"/>
                <w:sz w:val="32"/>
              </w:rPr>
              <w:t>3</w:t>
            </w:r>
            <w:r w:rsidR="005D19FE" w:rsidRPr="00F13F40">
              <w:rPr>
                <w:rFonts w:ascii="Arial" w:hAnsi="Arial" w:cs="Arial"/>
                <w:b/>
                <w:smallCaps/>
                <w:color w:val="404040" w:themeColor="text1" w:themeTint="BF"/>
                <w:sz w:val="32"/>
              </w:rPr>
              <w:t xml:space="preserve"> : </w:t>
            </w:r>
            <w:r w:rsidR="007F5BF5" w:rsidRPr="00F13F40">
              <w:rPr>
                <w:rFonts w:ascii="Arial" w:hAnsi="Arial" w:cs="Arial"/>
                <w:b/>
                <w:smallCaps/>
                <w:color w:val="404040" w:themeColor="text1" w:themeTint="BF"/>
                <w:sz w:val="32"/>
              </w:rPr>
              <w:t>Corps humain et santé</w:t>
            </w:r>
          </w:p>
        </w:tc>
      </w:tr>
      <w:tr w:rsidR="00C74BB7" w:rsidRPr="00F13F40" w:rsidTr="00F61E7D">
        <w:tc>
          <w:tcPr>
            <w:tcW w:w="10740" w:type="dxa"/>
            <w:gridSpan w:val="7"/>
            <w:tcBorders>
              <w:top w:val="nil"/>
              <w:left w:val="nil"/>
              <w:bottom w:val="single" w:sz="4" w:space="0" w:color="auto"/>
              <w:right w:val="nil"/>
            </w:tcBorders>
            <w:shd w:val="clear" w:color="auto" w:fill="auto"/>
          </w:tcPr>
          <w:p w:rsidR="00C74BB7" w:rsidRPr="00F13F40" w:rsidRDefault="00C74BB7">
            <w:pPr>
              <w:rPr>
                <w:rFonts w:ascii="Arial" w:hAnsi="Arial" w:cs="Arial"/>
              </w:rPr>
            </w:pPr>
          </w:p>
        </w:tc>
      </w:tr>
      <w:tr w:rsidR="00091D79" w:rsidRPr="00F13F40" w:rsidTr="00F61E7D">
        <w:tc>
          <w:tcPr>
            <w:tcW w:w="1558" w:type="dxa"/>
            <w:gridSpan w:val="4"/>
            <w:tcBorders>
              <w:top w:val="single" w:sz="4" w:space="0" w:color="auto"/>
              <w:left w:val="single" w:sz="4" w:space="0" w:color="auto"/>
            </w:tcBorders>
            <w:shd w:val="clear" w:color="auto" w:fill="auto"/>
          </w:tcPr>
          <w:p w:rsidR="00091D79" w:rsidRPr="00F13F40" w:rsidRDefault="00091D79">
            <w:pPr>
              <w:rPr>
                <w:rFonts w:ascii="Arial" w:hAnsi="Arial" w:cs="Arial"/>
                <w:b/>
                <w:sz w:val="18"/>
              </w:rPr>
            </w:pPr>
            <w:r w:rsidRPr="00F13F40">
              <w:rPr>
                <w:rFonts w:ascii="Arial" w:hAnsi="Arial" w:cs="Arial"/>
                <w:b/>
                <w:sz w:val="18"/>
              </w:rPr>
              <w:t>Introduction :</w:t>
            </w:r>
          </w:p>
        </w:tc>
        <w:tc>
          <w:tcPr>
            <w:tcW w:w="9182" w:type="dxa"/>
            <w:gridSpan w:val="3"/>
            <w:tcBorders>
              <w:top w:val="single" w:sz="4" w:space="0" w:color="auto"/>
              <w:right w:val="single" w:sz="4" w:space="0" w:color="auto"/>
            </w:tcBorders>
            <w:shd w:val="clear" w:color="auto" w:fill="auto"/>
          </w:tcPr>
          <w:p w:rsidR="00F45E5C" w:rsidRPr="00F13F40" w:rsidRDefault="00A809C8" w:rsidP="00A809C8">
            <w:pPr>
              <w:jc w:val="both"/>
              <w:rPr>
                <w:rFonts w:ascii="Arial" w:hAnsi="Arial" w:cs="Arial"/>
                <w:sz w:val="20"/>
              </w:rPr>
            </w:pPr>
            <w:r>
              <w:rPr>
                <w:rFonts w:ascii="Arial" w:hAnsi="Arial" w:cs="Arial"/>
                <w:sz w:val="20"/>
              </w:rPr>
              <w:t>La découverte récente de la diversité du microbiote est un élément permettant d’entrevoir de no</w:t>
            </w:r>
            <w:r>
              <w:rPr>
                <w:rFonts w:ascii="Arial" w:hAnsi="Arial" w:cs="Arial"/>
                <w:sz w:val="20"/>
              </w:rPr>
              <w:t>u</w:t>
            </w:r>
            <w:r>
              <w:rPr>
                <w:rFonts w:ascii="Arial" w:hAnsi="Arial" w:cs="Arial"/>
                <w:sz w:val="20"/>
              </w:rPr>
              <w:t>velles pistes de recherches pour la médecine. Ainsi, on a déterminé récemment qu’un déséquilibre du microbiote peut avoir des conséquences négatives sur la sa</w:t>
            </w:r>
            <w:r>
              <w:rPr>
                <w:rFonts w:ascii="Arial" w:hAnsi="Arial" w:cs="Arial"/>
                <w:sz w:val="20"/>
              </w:rPr>
              <w:t>n</w:t>
            </w:r>
            <w:r>
              <w:rPr>
                <w:rFonts w:ascii="Arial" w:hAnsi="Arial" w:cs="Arial"/>
                <w:sz w:val="20"/>
              </w:rPr>
              <w:t>té.</w:t>
            </w:r>
          </w:p>
        </w:tc>
      </w:tr>
      <w:tr w:rsidR="00091D79" w:rsidRPr="00F13F40" w:rsidTr="00F61E7D">
        <w:tc>
          <w:tcPr>
            <w:tcW w:w="1558" w:type="dxa"/>
            <w:gridSpan w:val="4"/>
            <w:tcBorders>
              <w:left w:val="single" w:sz="4" w:space="0" w:color="auto"/>
            </w:tcBorders>
            <w:shd w:val="clear" w:color="auto" w:fill="auto"/>
          </w:tcPr>
          <w:p w:rsidR="00091D79" w:rsidRPr="00F13F40" w:rsidRDefault="00091D79">
            <w:pPr>
              <w:rPr>
                <w:rFonts w:ascii="Arial" w:hAnsi="Arial" w:cs="Arial"/>
                <w:b/>
                <w:sz w:val="18"/>
              </w:rPr>
            </w:pPr>
            <w:r w:rsidRPr="00F13F40">
              <w:rPr>
                <w:rFonts w:ascii="Arial" w:hAnsi="Arial" w:cs="Arial"/>
                <w:b/>
                <w:sz w:val="18"/>
              </w:rPr>
              <w:t>Problém</w:t>
            </w:r>
            <w:r w:rsidRPr="00F13F40">
              <w:rPr>
                <w:rFonts w:ascii="Arial" w:hAnsi="Arial" w:cs="Arial"/>
                <w:b/>
                <w:sz w:val="18"/>
              </w:rPr>
              <w:t>a</w:t>
            </w:r>
            <w:r w:rsidRPr="00F13F40">
              <w:rPr>
                <w:rFonts w:ascii="Arial" w:hAnsi="Arial" w:cs="Arial"/>
                <w:b/>
                <w:sz w:val="18"/>
              </w:rPr>
              <w:t>tique</w:t>
            </w:r>
            <w:r w:rsidR="00D40948" w:rsidRPr="00F13F40">
              <w:rPr>
                <w:rFonts w:ascii="Arial" w:hAnsi="Arial" w:cs="Arial"/>
                <w:b/>
                <w:sz w:val="18"/>
              </w:rPr>
              <w:t> :</w:t>
            </w:r>
          </w:p>
        </w:tc>
        <w:tc>
          <w:tcPr>
            <w:tcW w:w="9182" w:type="dxa"/>
            <w:gridSpan w:val="3"/>
            <w:tcBorders>
              <w:right w:val="single" w:sz="4" w:space="0" w:color="auto"/>
            </w:tcBorders>
            <w:shd w:val="clear" w:color="auto" w:fill="auto"/>
          </w:tcPr>
          <w:p w:rsidR="00091D79" w:rsidRPr="00F13F40" w:rsidRDefault="00A809C8" w:rsidP="0046502C">
            <w:pPr>
              <w:jc w:val="both"/>
              <w:rPr>
                <w:rFonts w:ascii="Arial" w:hAnsi="Arial" w:cs="Arial"/>
                <w:sz w:val="20"/>
              </w:rPr>
            </w:pPr>
            <w:r>
              <w:rPr>
                <w:rFonts w:ascii="Arial" w:hAnsi="Arial" w:cs="Arial"/>
                <w:sz w:val="20"/>
              </w:rPr>
              <w:t>Par quels mécanismes le microbiote influence-t-il l’état de santé d’un individu</w:t>
            </w:r>
            <w:r w:rsidR="009110CE" w:rsidRPr="00F13F40">
              <w:rPr>
                <w:rFonts w:ascii="Arial" w:hAnsi="Arial" w:cs="Arial"/>
                <w:sz w:val="20"/>
              </w:rPr>
              <w:t>?</w:t>
            </w:r>
          </w:p>
        </w:tc>
      </w:tr>
      <w:tr w:rsidR="00091D79" w:rsidRPr="00F13F40" w:rsidTr="00F61E7D">
        <w:tc>
          <w:tcPr>
            <w:tcW w:w="1558" w:type="dxa"/>
            <w:gridSpan w:val="4"/>
            <w:tcBorders>
              <w:left w:val="single" w:sz="4" w:space="0" w:color="auto"/>
            </w:tcBorders>
            <w:shd w:val="clear" w:color="auto" w:fill="auto"/>
          </w:tcPr>
          <w:p w:rsidR="00091D79" w:rsidRPr="00F13F40" w:rsidRDefault="00091D79">
            <w:pPr>
              <w:rPr>
                <w:rFonts w:ascii="Arial" w:hAnsi="Arial" w:cs="Arial"/>
                <w:b/>
                <w:sz w:val="18"/>
              </w:rPr>
            </w:pPr>
            <w:r w:rsidRPr="00F13F40">
              <w:rPr>
                <w:rFonts w:ascii="Arial" w:hAnsi="Arial" w:cs="Arial"/>
                <w:b/>
                <w:sz w:val="18"/>
              </w:rPr>
              <w:t>Objectifs :</w:t>
            </w:r>
          </w:p>
        </w:tc>
        <w:tc>
          <w:tcPr>
            <w:tcW w:w="9182" w:type="dxa"/>
            <w:gridSpan w:val="3"/>
            <w:tcBorders>
              <w:right w:val="single" w:sz="4" w:space="0" w:color="auto"/>
            </w:tcBorders>
            <w:shd w:val="clear" w:color="auto" w:fill="auto"/>
          </w:tcPr>
          <w:p w:rsidR="00091D79" w:rsidRPr="00F13F40" w:rsidRDefault="009110CE" w:rsidP="009110CE">
            <w:pPr>
              <w:jc w:val="both"/>
              <w:rPr>
                <w:rFonts w:ascii="Arial" w:hAnsi="Arial" w:cs="Arial"/>
                <w:sz w:val="20"/>
              </w:rPr>
            </w:pPr>
            <w:r w:rsidRPr="00F13F40">
              <w:rPr>
                <w:rFonts w:ascii="Arial" w:hAnsi="Arial" w:cs="Arial"/>
                <w:sz w:val="20"/>
              </w:rPr>
              <w:t xml:space="preserve">Analyser des documents, </w:t>
            </w:r>
            <w:r w:rsidR="0075798B" w:rsidRPr="00F13F40">
              <w:rPr>
                <w:rFonts w:ascii="Arial" w:hAnsi="Arial" w:cs="Arial"/>
                <w:sz w:val="20"/>
              </w:rPr>
              <w:t xml:space="preserve">comparer, </w:t>
            </w:r>
            <w:r w:rsidRPr="00F13F40">
              <w:rPr>
                <w:rFonts w:ascii="Arial" w:hAnsi="Arial" w:cs="Arial"/>
                <w:sz w:val="20"/>
              </w:rPr>
              <w:t>raisonner.</w:t>
            </w:r>
          </w:p>
        </w:tc>
      </w:tr>
    </w:tbl>
    <w:p w:rsidR="002A55B7" w:rsidRPr="00F13F40" w:rsidRDefault="002A55B7" w:rsidP="00D40948">
      <w:pPr>
        <w:jc w:val="both"/>
        <w:rPr>
          <w:rFonts w:ascii="Arial" w:hAnsi="Arial" w:cs="Arial"/>
        </w:rPr>
      </w:pPr>
    </w:p>
    <w:p w:rsidR="00AD0020" w:rsidRPr="00F13F40" w:rsidRDefault="00AD0020" w:rsidP="00AD0020">
      <w:pPr>
        <w:spacing w:after="0"/>
        <w:jc w:val="both"/>
        <w:rPr>
          <w:rFonts w:ascii="Arial" w:hAnsi="Arial" w:cs="Arial"/>
          <w:b/>
          <w:u w:val="single"/>
        </w:rPr>
      </w:pPr>
      <w:r w:rsidRPr="00F13F40">
        <w:rPr>
          <w:rFonts w:ascii="Arial" w:hAnsi="Arial" w:cs="Arial"/>
          <w:b/>
          <w:u w:val="single"/>
        </w:rPr>
        <w:t xml:space="preserve">Document 1 : </w:t>
      </w:r>
      <w:r w:rsidR="00A809C8">
        <w:rPr>
          <w:rFonts w:ascii="Arial" w:hAnsi="Arial" w:cs="Arial"/>
          <w:b/>
          <w:u w:val="single"/>
        </w:rPr>
        <w:t>Etude du rôle du microbiote sur la digestion chez le rat</w:t>
      </w:r>
      <w:r w:rsidRPr="00F13F40">
        <w:rPr>
          <w:rFonts w:ascii="Arial" w:hAnsi="Arial" w:cs="Arial"/>
          <w:b/>
          <w:u w:val="single"/>
        </w:rPr>
        <w:t>.</w:t>
      </w:r>
    </w:p>
    <w:p w:rsidR="005C6E27" w:rsidRPr="00F13F40" w:rsidRDefault="005C6E27" w:rsidP="00300C87">
      <w:pPr>
        <w:spacing w:after="0"/>
        <w:jc w:val="center"/>
        <w:rPr>
          <w:rFonts w:ascii="Arial" w:hAnsi="Arial" w:cs="Arial"/>
          <w:b/>
          <w:u w:val="single"/>
        </w:rPr>
      </w:pPr>
    </w:p>
    <w:p w:rsidR="00821606" w:rsidRPr="00B10798" w:rsidRDefault="00A809C8" w:rsidP="00B639CC">
      <w:pPr>
        <w:spacing w:after="0"/>
        <w:rPr>
          <w:rFonts w:ascii="Arial" w:hAnsi="Arial" w:cs="Arial"/>
          <w:sz w:val="20"/>
          <w:szCs w:val="20"/>
        </w:rPr>
      </w:pPr>
      <w:r w:rsidRPr="00B10798">
        <w:rPr>
          <w:rFonts w:ascii="Arial" w:hAnsi="Arial" w:cs="Arial"/>
          <w:sz w:val="20"/>
          <w:szCs w:val="20"/>
        </w:rPr>
        <w:t xml:space="preserve">On a comparé la prise alimentaire et les </w:t>
      </w:r>
      <w:r w:rsidRPr="00B10798">
        <w:rPr>
          <w:rFonts w:ascii="Arial" w:hAnsi="Arial" w:cs="Arial"/>
          <w:b/>
          <w:sz w:val="20"/>
          <w:szCs w:val="20"/>
        </w:rPr>
        <w:t>selles</w:t>
      </w:r>
      <w:r w:rsidRPr="00B10798">
        <w:rPr>
          <w:rFonts w:ascii="Arial" w:hAnsi="Arial" w:cs="Arial"/>
          <w:sz w:val="20"/>
          <w:szCs w:val="20"/>
        </w:rPr>
        <w:t xml:space="preserve"> de rat dépourvus de microbiote</w:t>
      </w:r>
      <w:r w:rsidR="006B5576" w:rsidRPr="00B10798">
        <w:rPr>
          <w:rFonts w:ascii="Arial" w:hAnsi="Arial" w:cs="Arial"/>
          <w:sz w:val="20"/>
          <w:szCs w:val="20"/>
        </w:rPr>
        <w:t xml:space="preserve"> (rats </w:t>
      </w:r>
      <w:r w:rsidR="006B5576" w:rsidRPr="00B10798">
        <w:rPr>
          <w:rFonts w:ascii="Arial" w:hAnsi="Arial" w:cs="Arial"/>
          <w:b/>
          <w:sz w:val="20"/>
          <w:szCs w:val="20"/>
        </w:rPr>
        <w:t>axéniques</w:t>
      </w:r>
      <w:r w:rsidR="006B5576" w:rsidRPr="00B10798">
        <w:rPr>
          <w:rFonts w:ascii="Arial" w:hAnsi="Arial" w:cs="Arial"/>
          <w:sz w:val="20"/>
          <w:szCs w:val="20"/>
        </w:rPr>
        <w:t>)</w:t>
      </w:r>
      <w:r w:rsidRPr="00B10798">
        <w:rPr>
          <w:rFonts w:ascii="Arial" w:hAnsi="Arial" w:cs="Arial"/>
          <w:sz w:val="20"/>
          <w:szCs w:val="20"/>
        </w:rPr>
        <w:t xml:space="preserve"> à celles de rats po</w:t>
      </w:r>
      <w:r w:rsidRPr="00B10798">
        <w:rPr>
          <w:rFonts w:ascii="Arial" w:hAnsi="Arial" w:cs="Arial"/>
          <w:sz w:val="20"/>
          <w:szCs w:val="20"/>
        </w:rPr>
        <w:t>s</w:t>
      </w:r>
      <w:r w:rsidRPr="00B10798">
        <w:rPr>
          <w:rFonts w:ascii="Arial" w:hAnsi="Arial" w:cs="Arial"/>
          <w:sz w:val="20"/>
          <w:szCs w:val="20"/>
        </w:rPr>
        <w:t>sédant un microbiote normal. Les résultats sont fournis dans le tableau ci-dessous :</w:t>
      </w:r>
    </w:p>
    <w:p w:rsidR="00A809C8" w:rsidRDefault="00A809C8" w:rsidP="00B639CC">
      <w:pPr>
        <w:spacing w:after="0"/>
        <w:rPr>
          <w:rFonts w:ascii="Arial" w:hAnsi="Arial" w:cs="Arial"/>
        </w:rPr>
      </w:pPr>
    </w:p>
    <w:tbl>
      <w:tblPr>
        <w:tblStyle w:val="Grilledutableau"/>
        <w:tblW w:w="0" w:type="auto"/>
        <w:tblLook w:val="04A0" w:firstRow="1" w:lastRow="0" w:firstColumn="1" w:lastColumn="0" w:noHBand="0" w:noVBand="1"/>
      </w:tblPr>
      <w:tblGrid>
        <w:gridCol w:w="3535"/>
        <w:gridCol w:w="3535"/>
        <w:gridCol w:w="3536"/>
      </w:tblGrid>
      <w:tr w:rsidR="00A809C8" w:rsidTr="00A809C8">
        <w:tc>
          <w:tcPr>
            <w:tcW w:w="3535" w:type="dxa"/>
          </w:tcPr>
          <w:p w:rsidR="00A809C8" w:rsidRDefault="00A809C8" w:rsidP="00E9550B">
            <w:pPr>
              <w:jc w:val="center"/>
              <w:rPr>
                <w:rFonts w:ascii="Arial" w:hAnsi="Arial" w:cs="Arial"/>
              </w:rPr>
            </w:pPr>
          </w:p>
        </w:tc>
        <w:tc>
          <w:tcPr>
            <w:tcW w:w="3535" w:type="dxa"/>
          </w:tcPr>
          <w:p w:rsidR="009451DB" w:rsidRDefault="009451DB" w:rsidP="00E9550B">
            <w:pPr>
              <w:jc w:val="center"/>
              <w:rPr>
                <w:rFonts w:ascii="Arial" w:hAnsi="Arial" w:cs="Arial"/>
              </w:rPr>
            </w:pPr>
          </w:p>
          <w:p w:rsidR="00B43EB7" w:rsidRDefault="00A809C8" w:rsidP="00E9550B">
            <w:pPr>
              <w:jc w:val="center"/>
              <w:rPr>
                <w:rFonts w:ascii="Arial" w:hAnsi="Arial" w:cs="Arial"/>
              </w:rPr>
            </w:pPr>
            <w:r>
              <w:rPr>
                <w:rFonts w:ascii="Arial" w:hAnsi="Arial" w:cs="Arial"/>
              </w:rPr>
              <w:t>Aliments consommés</w:t>
            </w:r>
          </w:p>
          <w:p w:rsidR="00B43EB7" w:rsidRDefault="00B43EB7" w:rsidP="00E9550B">
            <w:pPr>
              <w:jc w:val="center"/>
              <w:rPr>
                <w:rFonts w:ascii="Arial" w:hAnsi="Arial" w:cs="Arial"/>
              </w:rPr>
            </w:pPr>
            <w:r>
              <w:rPr>
                <w:rFonts w:ascii="Arial" w:hAnsi="Arial" w:cs="Arial"/>
              </w:rPr>
              <w:t>(Unités arbitraires)</w:t>
            </w:r>
          </w:p>
        </w:tc>
        <w:tc>
          <w:tcPr>
            <w:tcW w:w="3536" w:type="dxa"/>
          </w:tcPr>
          <w:p w:rsidR="009451DB" w:rsidRDefault="009451DB" w:rsidP="00E9550B">
            <w:pPr>
              <w:jc w:val="center"/>
              <w:rPr>
                <w:rFonts w:ascii="Arial" w:hAnsi="Arial" w:cs="Arial"/>
              </w:rPr>
            </w:pPr>
          </w:p>
          <w:p w:rsidR="00A809C8" w:rsidRDefault="00A809C8" w:rsidP="00E9550B">
            <w:pPr>
              <w:jc w:val="center"/>
              <w:rPr>
                <w:rFonts w:ascii="Arial" w:hAnsi="Arial" w:cs="Arial"/>
              </w:rPr>
            </w:pPr>
            <w:r>
              <w:rPr>
                <w:rFonts w:ascii="Arial" w:hAnsi="Arial" w:cs="Arial"/>
              </w:rPr>
              <w:t>Quantité d’aliments non digérés</w:t>
            </w:r>
            <w:r w:rsidR="00B43EB7">
              <w:rPr>
                <w:rFonts w:ascii="Arial" w:hAnsi="Arial" w:cs="Arial"/>
              </w:rPr>
              <w:t xml:space="preserve"> présents dans les selles.</w:t>
            </w:r>
          </w:p>
          <w:p w:rsidR="00B43EB7" w:rsidRDefault="00B43EB7" w:rsidP="00E9550B">
            <w:pPr>
              <w:jc w:val="center"/>
              <w:rPr>
                <w:rFonts w:ascii="Arial" w:hAnsi="Arial" w:cs="Arial"/>
              </w:rPr>
            </w:pPr>
            <w:r>
              <w:rPr>
                <w:rFonts w:ascii="Arial" w:hAnsi="Arial" w:cs="Arial"/>
              </w:rPr>
              <w:t>(Unités arbitraires)</w:t>
            </w:r>
          </w:p>
          <w:p w:rsidR="009451DB" w:rsidRDefault="009451DB" w:rsidP="00E9550B">
            <w:pPr>
              <w:jc w:val="center"/>
              <w:rPr>
                <w:rFonts w:ascii="Arial" w:hAnsi="Arial" w:cs="Arial"/>
              </w:rPr>
            </w:pPr>
          </w:p>
        </w:tc>
      </w:tr>
      <w:tr w:rsidR="00A809C8" w:rsidTr="00A809C8">
        <w:tc>
          <w:tcPr>
            <w:tcW w:w="3535" w:type="dxa"/>
          </w:tcPr>
          <w:p w:rsidR="00E9550B" w:rsidRDefault="00E9550B" w:rsidP="00E9550B">
            <w:pPr>
              <w:jc w:val="center"/>
              <w:rPr>
                <w:rFonts w:ascii="Arial" w:hAnsi="Arial" w:cs="Arial"/>
              </w:rPr>
            </w:pPr>
          </w:p>
          <w:p w:rsidR="00A809C8" w:rsidRDefault="00B43EB7" w:rsidP="00E9550B">
            <w:pPr>
              <w:jc w:val="center"/>
              <w:rPr>
                <w:rFonts w:ascii="Arial" w:hAnsi="Arial" w:cs="Arial"/>
              </w:rPr>
            </w:pPr>
            <w:r>
              <w:rPr>
                <w:rFonts w:ascii="Arial" w:hAnsi="Arial" w:cs="Arial"/>
              </w:rPr>
              <w:t>Rats témoins</w:t>
            </w:r>
          </w:p>
          <w:p w:rsidR="00E9550B" w:rsidRDefault="00E9550B" w:rsidP="00E9550B">
            <w:pPr>
              <w:jc w:val="center"/>
              <w:rPr>
                <w:rFonts w:ascii="Arial" w:hAnsi="Arial" w:cs="Arial"/>
              </w:rPr>
            </w:pPr>
          </w:p>
        </w:tc>
        <w:tc>
          <w:tcPr>
            <w:tcW w:w="3535" w:type="dxa"/>
          </w:tcPr>
          <w:p w:rsidR="00E9550B" w:rsidRDefault="00E9550B" w:rsidP="00E9550B">
            <w:pPr>
              <w:jc w:val="center"/>
              <w:rPr>
                <w:rFonts w:ascii="Arial" w:hAnsi="Arial" w:cs="Arial"/>
              </w:rPr>
            </w:pPr>
          </w:p>
          <w:p w:rsidR="00A809C8" w:rsidRDefault="00B43EB7" w:rsidP="00E9550B">
            <w:pPr>
              <w:jc w:val="center"/>
              <w:rPr>
                <w:rFonts w:ascii="Arial" w:hAnsi="Arial" w:cs="Arial"/>
              </w:rPr>
            </w:pPr>
            <w:r>
              <w:rPr>
                <w:rFonts w:ascii="Arial" w:hAnsi="Arial" w:cs="Arial"/>
              </w:rPr>
              <w:t>100</w:t>
            </w:r>
          </w:p>
        </w:tc>
        <w:tc>
          <w:tcPr>
            <w:tcW w:w="3536" w:type="dxa"/>
          </w:tcPr>
          <w:p w:rsidR="00E9550B" w:rsidRDefault="00E9550B" w:rsidP="00E9550B">
            <w:pPr>
              <w:jc w:val="center"/>
              <w:rPr>
                <w:rFonts w:ascii="Arial" w:hAnsi="Arial" w:cs="Arial"/>
              </w:rPr>
            </w:pPr>
          </w:p>
          <w:p w:rsidR="00A809C8" w:rsidRDefault="00B43EB7" w:rsidP="00E9550B">
            <w:pPr>
              <w:jc w:val="center"/>
              <w:rPr>
                <w:rFonts w:ascii="Arial" w:hAnsi="Arial" w:cs="Arial"/>
              </w:rPr>
            </w:pPr>
            <w:r>
              <w:rPr>
                <w:rFonts w:ascii="Arial" w:hAnsi="Arial" w:cs="Arial"/>
              </w:rPr>
              <w:t>100</w:t>
            </w:r>
          </w:p>
        </w:tc>
      </w:tr>
      <w:tr w:rsidR="00A809C8" w:rsidTr="00A809C8">
        <w:tc>
          <w:tcPr>
            <w:tcW w:w="3535" w:type="dxa"/>
          </w:tcPr>
          <w:p w:rsidR="00E9550B" w:rsidRDefault="00E9550B" w:rsidP="00E9550B">
            <w:pPr>
              <w:jc w:val="center"/>
              <w:rPr>
                <w:rFonts w:ascii="Arial" w:hAnsi="Arial" w:cs="Arial"/>
              </w:rPr>
            </w:pPr>
          </w:p>
          <w:p w:rsidR="00A809C8" w:rsidRDefault="00B43EB7" w:rsidP="00E9550B">
            <w:pPr>
              <w:jc w:val="center"/>
              <w:rPr>
                <w:rFonts w:ascii="Arial" w:hAnsi="Arial" w:cs="Arial"/>
              </w:rPr>
            </w:pPr>
            <w:r>
              <w:rPr>
                <w:rFonts w:ascii="Arial" w:hAnsi="Arial" w:cs="Arial"/>
              </w:rPr>
              <w:t xml:space="preserve">Rats </w:t>
            </w:r>
            <w:r w:rsidR="006B5576">
              <w:rPr>
                <w:rFonts w:ascii="Arial" w:hAnsi="Arial" w:cs="Arial"/>
              </w:rPr>
              <w:t>axéniques</w:t>
            </w:r>
          </w:p>
          <w:p w:rsidR="00E9550B" w:rsidRDefault="00E9550B" w:rsidP="00E9550B">
            <w:pPr>
              <w:jc w:val="center"/>
              <w:rPr>
                <w:rFonts w:ascii="Arial" w:hAnsi="Arial" w:cs="Arial"/>
              </w:rPr>
            </w:pPr>
          </w:p>
        </w:tc>
        <w:tc>
          <w:tcPr>
            <w:tcW w:w="3535" w:type="dxa"/>
          </w:tcPr>
          <w:p w:rsidR="00E9550B" w:rsidRDefault="00E9550B" w:rsidP="00E9550B">
            <w:pPr>
              <w:jc w:val="center"/>
              <w:rPr>
                <w:rFonts w:ascii="Arial" w:hAnsi="Arial" w:cs="Arial"/>
              </w:rPr>
            </w:pPr>
          </w:p>
          <w:p w:rsidR="00A809C8" w:rsidRDefault="00B43EB7" w:rsidP="00E9550B">
            <w:pPr>
              <w:jc w:val="center"/>
              <w:rPr>
                <w:rFonts w:ascii="Arial" w:hAnsi="Arial" w:cs="Arial"/>
              </w:rPr>
            </w:pPr>
            <w:r>
              <w:rPr>
                <w:rFonts w:ascii="Arial" w:hAnsi="Arial" w:cs="Arial"/>
              </w:rPr>
              <w:t>90</w:t>
            </w:r>
          </w:p>
        </w:tc>
        <w:tc>
          <w:tcPr>
            <w:tcW w:w="3536" w:type="dxa"/>
          </w:tcPr>
          <w:p w:rsidR="00E9550B" w:rsidRDefault="00E9550B" w:rsidP="00E9550B">
            <w:pPr>
              <w:jc w:val="center"/>
              <w:rPr>
                <w:rFonts w:ascii="Arial" w:hAnsi="Arial" w:cs="Arial"/>
              </w:rPr>
            </w:pPr>
          </w:p>
          <w:p w:rsidR="00A809C8" w:rsidRDefault="00B43EB7" w:rsidP="00E9550B">
            <w:pPr>
              <w:jc w:val="center"/>
              <w:rPr>
                <w:rFonts w:ascii="Arial" w:hAnsi="Arial" w:cs="Arial"/>
              </w:rPr>
            </w:pPr>
            <w:r>
              <w:rPr>
                <w:rFonts w:ascii="Arial" w:hAnsi="Arial" w:cs="Arial"/>
              </w:rPr>
              <w:t>187</w:t>
            </w:r>
          </w:p>
        </w:tc>
      </w:tr>
    </w:tbl>
    <w:p w:rsidR="00A809C8" w:rsidRPr="00F13F40" w:rsidRDefault="00A809C8" w:rsidP="00B639CC">
      <w:pPr>
        <w:spacing w:after="0"/>
        <w:rPr>
          <w:rFonts w:ascii="Arial" w:hAnsi="Arial" w:cs="Arial"/>
        </w:rPr>
      </w:pPr>
    </w:p>
    <w:p w:rsidR="00B7763E" w:rsidRPr="00F13F40" w:rsidRDefault="00754AD1" w:rsidP="00754AD1">
      <w:pPr>
        <w:spacing w:after="0"/>
        <w:jc w:val="both"/>
        <w:rPr>
          <w:rFonts w:ascii="Arial" w:hAnsi="Arial" w:cs="Arial"/>
          <w:b/>
          <w:u w:val="single"/>
        </w:rPr>
      </w:pPr>
      <w:r w:rsidRPr="00F13F40">
        <w:rPr>
          <w:rFonts w:ascii="Arial" w:hAnsi="Arial" w:cs="Arial"/>
          <w:b/>
          <w:u w:val="single"/>
        </w:rPr>
        <w:t>Document</w:t>
      </w:r>
      <w:r w:rsidR="00937788" w:rsidRPr="00F13F40">
        <w:rPr>
          <w:rFonts w:ascii="Arial" w:hAnsi="Arial" w:cs="Arial"/>
          <w:b/>
          <w:u w:val="single"/>
        </w:rPr>
        <w:t xml:space="preserve"> </w:t>
      </w:r>
      <w:r w:rsidR="0063273A" w:rsidRPr="00F13F40">
        <w:rPr>
          <w:rFonts w:ascii="Arial" w:hAnsi="Arial" w:cs="Arial"/>
          <w:b/>
          <w:u w:val="single"/>
        </w:rPr>
        <w:t>2</w:t>
      </w:r>
      <w:r w:rsidRPr="00F13F40">
        <w:rPr>
          <w:rFonts w:ascii="Arial" w:hAnsi="Arial" w:cs="Arial"/>
          <w:b/>
          <w:u w:val="single"/>
        </w:rPr>
        <w:t> :</w:t>
      </w:r>
      <w:r w:rsidR="00937788" w:rsidRPr="00F13F40">
        <w:rPr>
          <w:rFonts w:ascii="Arial" w:hAnsi="Arial" w:cs="Arial"/>
          <w:b/>
          <w:u w:val="single"/>
        </w:rPr>
        <w:t xml:space="preserve"> </w:t>
      </w:r>
      <w:r w:rsidR="00B43EB7">
        <w:rPr>
          <w:rFonts w:ascii="Arial" w:hAnsi="Arial" w:cs="Arial"/>
          <w:b/>
          <w:u w:val="single"/>
        </w:rPr>
        <w:t>Etude de l’effet du microbiote sur le stockage de la graisse corporelle chez la souris</w:t>
      </w:r>
      <w:r w:rsidRPr="00F13F40">
        <w:rPr>
          <w:rFonts w:ascii="Arial" w:hAnsi="Arial" w:cs="Arial"/>
          <w:b/>
          <w:u w:val="single"/>
        </w:rPr>
        <w:t>.</w:t>
      </w:r>
    </w:p>
    <w:p w:rsidR="008455BD" w:rsidRPr="00F13F40" w:rsidRDefault="008455BD" w:rsidP="008455BD">
      <w:pPr>
        <w:jc w:val="both"/>
        <w:rPr>
          <w:rFonts w:ascii="Arial" w:hAnsi="Arial" w:cs="Arial"/>
          <w:sz w:val="20"/>
        </w:rPr>
      </w:pPr>
    </w:p>
    <w:p w:rsidR="0075798B" w:rsidRDefault="00B43EB7" w:rsidP="008455BD">
      <w:pPr>
        <w:jc w:val="both"/>
        <w:rPr>
          <w:rFonts w:ascii="Arial" w:hAnsi="Arial" w:cs="Arial"/>
          <w:sz w:val="20"/>
        </w:rPr>
      </w:pPr>
      <w:r>
        <w:rPr>
          <w:rFonts w:ascii="Arial" w:hAnsi="Arial" w:cs="Arial"/>
          <w:sz w:val="20"/>
        </w:rPr>
        <w:t>On a comparé le pourcentage de graisse corporelle chez des souris témoins (possédant un microbiote), des souris dépourvues de microbiote et des souris initialement dépourvues de microbiote mais à qui on a transféré le micr</w:t>
      </w:r>
      <w:r>
        <w:rPr>
          <w:rFonts w:ascii="Arial" w:hAnsi="Arial" w:cs="Arial"/>
          <w:sz w:val="20"/>
        </w:rPr>
        <w:t>o</w:t>
      </w:r>
      <w:r>
        <w:rPr>
          <w:rFonts w:ascii="Arial" w:hAnsi="Arial" w:cs="Arial"/>
          <w:sz w:val="20"/>
        </w:rPr>
        <w:t>biote de souris témoins</w:t>
      </w:r>
      <w:r w:rsidR="00321EE3">
        <w:rPr>
          <w:rFonts w:ascii="Arial" w:hAnsi="Arial" w:cs="Arial"/>
          <w:sz w:val="20"/>
        </w:rPr>
        <w:t>.</w:t>
      </w:r>
      <w:r>
        <w:rPr>
          <w:rFonts w:ascii="Arial" w:hAnsi="Arial" w:cs="Arial"/>
          <w:sz w:val="20"/>
        </w:rPr>
        <w:t xml:space="preserve"> Les résultats</w:t>
      </w:r>
      <w:r w:rsidR="00404C62">
        <w:rPr>
          <w:rFonts w:ascii="Arial" w:hAnsi="Arial" w:cs="Arial"/>
          <w:sz w:val="20"/>
        </w:rPr>
        <w:t xml:space="preserve"> sont fournis dans le tableau ci-dessous :</w:t>
      </w:r>
    </w:p>
    <w:tbl>
      <w:tblPr>
        <w:tblStyle w:val="Grilledutableau"/>
        <w:tblW w:w="0" w:type="auto"/>
        <w:jc w:val="center"/>
        <w:tblLook w:val="04A0" w:firstRow="1" w:lastRow="0" w:firstColumn="1" w:lastColumn="0" w:noHBand="0" w:noVBand="1"/>
      </w:tblPr>
      <w:tblGrid>
        <w:gridCol w:w="3535"/>
        <w:gridCol w:w="3535"/>
      </w:tblGrid>
      <w:tr w:rsidR="00404C62" w:rsidTr="006B5576">
        <w:trPr>
          <w:jc w:val="center"/>
        </w:trPr>
        <w:tc>
          <w:tcPr>
            <w:tcW w:w="3535" w:type="dxa"/>
          </w:tcPr>
          <w:p w:rsidR="00404C62" w:rsidRDefault="00404C62" w:rsidP="00E9550B">
            <w:pPr>
              <w:jc w:val="center"/>
              <w:rPr>
                <w:rFonts w:ascii="Arial" w:hAnsi="Arial" w:cs="Arial"/>
                <w:sz w:val="20"/>
              </w:rPr>
            </w:pPr>
          </w:p>
        </w:tc>
        <w:tc>
          <w:tcPr>
            <w:tcW w:w="3535" w:type="dxa"/>
          </w:tcPr>
          <w:p w:rsidR="009451DB" w:rsidRDefault="009451DB" w:rsidP="00E9550B">
            <w:pPr>
              <w:jc w:val="center"/>
              <w:rPr>
                <w:rFonts w:ascii="Arial" w:hAnsi="Arial" w:cs="Arial"/>
                <w:sz w:val="20"/>
              </w:rPr>
            </w:pPr>
          </w:p>
          <w:p w:rsidR="00404C62" w:rsidRDefault="00404C62" w:rsidP="00E9550B">
            <w:pPr>
              <w:jc w:val="center"/>
              <w:rPr>
                <w:rFonts w:ascii="Arial" w:hAnsi="Arial" w:cs="Arial"/>
                <w:sz w:val="20"/>
              </w:rPr>
            </w:pPr>
            <w:r>
              <w:rPr>
                <w:rFonts w:ascii="Arial" w:hAnsi="Arial" w:cs="Arial"/>
                <w:sz w:val="20"/>
              </w:rPr>
              <w:t>Pourcentage de graisse corporelle chez des souris âgées de 8 à 10 s</w:t>
            </w:r>
            <w:r>
              <w:rPr>
                <w:rFonts w:ascii="Arial" w:hAnsi="Arial" w:cs="Arial"/>
                <w:sz w:val="20"/>
              </w:rPr>
              <w:t>e</w:t>
            </w:r>
            <w:r>
              <w:rPr>
                <w:rFonts w:ascii="Arial" w:hAnsi="Arial" w:cs="Arial"/>
                <w:sz w:val="20"/>
              </w:rPr>
              <w:t>maines</w:t>
            </w:r>
          </w:p>
          <w:p w:rsidR="009451DB" w:rsidRDefault="009451DB" w:rsidP="00E9550B">
            <w:pPr>
              <w:jc w:val="center"/>
              <w:rPr>
                <w:rFonts w:ascii="Arial" w:hAnsi="Arial" w:cs="Arial"/>
                <w:sz w:val="20"/>
              </w:rPr>
            </w:pPr>
          </w:p>
        </w:tc>
      </w:tr>
      <w:tr w:rsidR="00404C62" w:rsidTr="006B5576">
        <w:trPr>
          <w:jc w:val="center"/>
        </w:trPr>
        <w:tc>
          <w:tcPr>
            <w:tcW w:w="3535" w:type="dxa"/>
          </w:tcPr>
          <w:p w:rsidR="00E9550B" w:rsidRDefault="00E9550B" w:rsidP="00E9550B">
            <w:pPr>
              <w:jc w:val="center"/>
              <w:rPr>
                <w:rFonts w:ascii="Arial" w:hAnsi="Arial" w:cs="Arial"/>
                <w:sz w:val="20"/>
              </w:rPr>
            </w:pPr>
          </w:p>
          <w:p w:rsidR="00404C62" w:rsidRDefault="00404C62" w:rsidP="00E9550B">
            <w:pPr>
              <w:jc w:val="center"/>
              <w:rPr>
                <w:rFonts w:ascii="Arial" w:hAnsi="Arial" w:cs="Arial"/>
                <w:sz w:val="20"/>
              </w:rPr>
            </w:pPr>
            <w:r>
              <w:rPr>
                <w:rFonts w:ascii="Arial" w:hAnsi="Arial" w:cs="Arial"/>
                <w:sz w:val="20"/>
              </w:rPr>
              <w:t>Souris témoins</w:t>
            </w:r>
          </w:p>
          <w:p w:rsidR="00E9550B" w:rsidRDefault="00E9550B" w:rsidP="00E9550B">
            <w:pPr>
              <w:jc w:val="center"/>
              <w:rPr>
                <w:rFonts w:ascii="Arial" w:hAnsi="Arial" w:cs="Arial"/>
                <w:sz w:val="20"/>
              </w:rPr>
            </w:pPr>
          </w:p>
        </w:tc>
        <w:tc>
          <w:tcPr>
            <w:tcW w:w="3535" w:type="dxa"/>
          </w:tcPr>
          <w:p w:rsidR="00E9550B" w:rsidRDefault="00E9550B" w:rsidP="00E9550B">
            <w:pPr>
              <w:jc w:val="center"/>
              <w:rPr>
                <w:rFonts w:ascii="Arial" w:hAnsi="Arial" w:cs="Arial"/>
                <w:sz w:val="20"/>
              </w:rPr>
            </w:pPr>
          </w:p>
          <w:p w:rsidR="00404C62" w:rsidRDefault="00404C62" w:rsidP="00E9550B">
            <w:pPr>
              <w:jc w:val="center"/>
              <w:rPr>
                <w:rFonts w:ascii="Arial" w:hAnsi="Arial" w:cs="Arial"/>
                <w:sz w:val="20"/>
              </w:rPr>
            </w:pPr>
            <w:r>
              <w:rPr>
                <w:rFonts w:ascii="Arial" w:hAnsi="Arial" w:cs="Arial"/>
                <w:sz w:val="20"/>
              </w:rPr>
              <w:t>12%</w:t>
            </w:r>
          </w:p>
        </w:tc>
      </w:tr>
      <w:tr w:rsidR="00404C62" w:rsidTr="006B5576">
        <w:trPr>
          <w:jc w:val="center"/>
        </w:trPr>
        <w:tc>
          <w:tcPr>
            <w:tcW w:w="3535" w:type="dxa"/>
          </w:tcPr>
          <w:p w:rsidR="00E9550B" w:rsidRDefault="00E9550B" w:rsidP="00E9550B">
            <w:pPr>
              <w:jc w:val="center"/>
              <w:rPr>
                <w:rFonts w:ascii="Arial" w:hAnsi="Arial" w:cs="Arial"/>
                <w:sz w:val="20"/>
              </w:rPr>
            </w:pPr>
          </w:p>
          <w:p w:rsidR="00404C62" w:rsidRDefault="00404C62" w:rsidP="00E9550B">
            <w:pPr>
              <w:jc w:val="center"/>
              <w:rPr>
                <w:rFonts w:ascii="Arial" w:hAnsi="Arial" w:cs="Arial"/>
                <w:sz w:val="20"/>
              </w:rPr>
            </w:pPr>
            <w:r>
              <w:rPr>
                <w:rFonts w:ascii="Arial" w:hAnsi="Arial" w:cs="Arial"/>
                <w:sz w:val="20"/>
              </w:rPr>
              <w:t xml:space="preserve">Souris </w:t>
            </w:r>
            <w:r w:rsidR="006B5576">
              <w:rPr>
                <w:rFonts w:ascii="Arial" w:hAnsi="Arial" w:cs="Arial"/>
                <w:sz w:val="20"/>
              </w:rPr>
              <w:t>axéniques</w:t>
            </w:r>
          </w:p>
          <w:p w:rsidR="00E9550B" w:rsidRDefault="00E9550B" w:rsidP="00E9550B">
            <w:pPr>
              <w:jc w:val="center"/>
              <w:rPr>
                <w:rFonts w:ascii="Arial" w:hAnsi="Arial" w:cs="Arial"/>
                <w:sz w:val="20"/>
              </w:rPr>
            </w:pPr>
          </w:p>
        </w:tc>
        <w:tc>
          <w:tcPr>
            <w:tcW w:w="3535" w:type="dxa"/>
          </w:tcPr>
          <w:p w:rsidR="00E9550B" w:rsidRDefault="00E9550B" w:rsidP="00E9550B">
            <w:pPr>
              <w:jc w:val="center"/>
              <w:rPr>
                <w:rFonts w:ascii="Arial" w:hAnsi="Arial" w:cs="Arial"/>
                <w:sz w:val="20"/>
              </w:rPr>
            </w:pPr>
          </w:p>
          <w:p w:rsidR="00404C62" w:rsidRDefault="00404C62" w:rsidP="00E9550B">
            <w:pPr>
              <w:jc w:val="center"/>
              <w:rPr>
                <w:rFonts w:ascii="Arial" w:hAnsi="Arial" w:cs="Arial"/>
                <w:sz w:val="20"/>
              </w:rPr>
            </w:pPr>
            <w:r>
              <w:rPr>
                <w:rFonts w:ascii="Arial" w:hAnsi="Arial" w:cs="Arial"/>
                <w:sz w:val="20"/>
              </w:rPr>
              <w:t>8%</w:t>
            </w:r>
          </w:p>
        </w:tc>
      </w:tr>
      <w:tr w:rsidR="00404C62" w:rsidTr="006B5576">
        <w:trPr>
          <w:jc w:val="center"/>
        </w:trPr>
        <w:tc>
          <w:tcPr>
            <w:tcW w:w="3535" w:type="dxa"/>
          </w:tcPr>
          <w:p w:rsidR="00E9550B" w:rsidRDefault="00E9550B" w:rsidP="00E9550B">
            <w:pPr>
              <w:jc w:val="center"/>
              <w:rPr>
                <w:rFonts w:ascii="Arial" w:hAnsi="Arial" w:cs="Arial"/>
                <w:sz w:val="20"/>
              </w:rPr>
            </w:pPr>
          </w:p>
          <w:p w:rsidR="00404C62" w:rsidRDefault="00404C62" w:rsidP="00E9550B">
            <w:pPr>
              <w:jc w:val="center"/>
              <w:rPr>
                <w:rFonts w:ascii="Arial" w:hAnsi="Arial" w:cs="Arial"/>
                <w:sz w:val="20"/>
              </w:rPr>
            </w:pPr>
            <w:r>
              <w:rPr>
                <w:rFonts w:ascii="Arial" w:hAnsi="Arial" w:cs="Arial"/>
                <w:sz w:val="20"/>
              </w:rPr>
              <w:t xml:space="preserve">Souris </w:t>
            </w:r>
            <w:r w:rsidR="006B5576">
              <w:rPr>
                <w:rFonts w:ascii="Arial" w:hAnsi="Arial" w:cs="Arial"/>
                <w:sz w:val="20"/>
              </w:rPr>
              <w:t>axéniques</w:t>
            </w:r>
            <w:r>
              <w:rPr>
                <w:rFonts w:ascii="Arial" w:hAnsi="Arial" w:cs="Arial"/>
                <w:sz w:val="20"/>
              </w:rPr>
              <w:t xml:space="preserve"> à qui on a transféré le m</w:t>
            </w:r>
            <w:r>
              <w:rPr>
                <w:rFonts w:ascii="Arial" w:hAnsi="Arial" w:cs="Arial"/>
                <w:sz w:val="20"/>
              </w:rPr>
              <w:t>i</w:t>
            </w:r>
            <w:r>
              <w:rPr>
                <w:rFonts w:ascii="Arial" w:hAnsi="Arial" w:cs="Arial"/>
                <w:sz w:val="20"/>
              </w:rPr>
              <w:t>crobiote de souris témoins</w:t>
            </w:r>
          </w:p>
          <w:p w:rsidR="00E9550B" w:rsidRDefault="00E9550B" w:rsidP="00E9550B">
            <w:pPr>
              <w:jc w:val="center"/>
              <w:rPr>
                <w:rFonts w:ascii="Arial" w:hAnsi="Arial" w:cs="Arial"/>
                <w:sz w:val="20"/>
              </w:rPr>
            </w:pPr>
          </w:p>
        </w:tc>
        <w:tc>
          <w:tcPr>
            <w:tcW w:w="3535" w:type="dxa"/>
          </w:tcPr>
          <w:p w:rsidR="00E9550B" w:rsidRDefault="00E9550B" w:rsidP="00E9550B">
            <w:pPr>
              <w:jc w:val="center"/>
              <w:rPr>
                <w:rFonts w:ascii="Arial" w:hAnsi="Arial" w:cs="Arial"/>
                <w:sz w:val="20"/>
              </w:rPr>
            </w:pPr>
          </w:p>
          <w:p w:rsidR="00E9550B" w:rsidRDefault="00E9550B" w:rsidP="00E9550B">
            <w:pPr>
              <w:jc w:val="center"/>
              <w:rPr>
                <w:rFonts w:ascii="Arial" w:hAnsi="Arial" w:cs="Arial"/>
                <w:sz w:val="20"/>
              </w:rPr>
            </w:pPr>
          </w:p>
          <w:p w:rsidR="00404C62" w:rsidRDefault="00404C62" w:rsidP="00E9550B">
            <w:pPr>
              <w:jc w:val="center"/>
              <w:rPr>
                <w:rFonts w:ascii="Arial" w:hAnsi="Arial" w:cs="Arial"/>
                <w:sz w:val="20"/>
              </w:rPr>
            </w:pPr>
            <w:r>
              <w:rPr>
                <w:rFonts w:ascii="Arial" w:hAnsi="Arial" w:cs="Arial"/>
                <w:sz w:val="20"/>
              </w:rPr>
              <w:t>13%</w:t>
            </w:r>
          </w:p>
        </w:tc>
      </w:tr>
    </w:tbl>
    <w:p w:rsidR="00321EE3" w:rsidRDefault="00321EE3" w:rsidP="008455BD">
      <w:pPr>
        <w:jc w:val="both"/>
        <w:rPr>
          <w:rFonts w:ascii="Arial" w:hAnsi="Arial" w:cs="Arial"/>
          <w:sz w:val="20"/>
        </w:rPr>
      </w:pPr>
    </w:p>
    <w:p w:rsidR="009451DB" w:rsidRDefault="009451DB" w:rsidP="00D40948">
      <w:pPr>
        <w:jc w:val="both"/>
        <w:rPr>
          <w:rFonts w:ascii="Arial" w:hAnsi="Arial" w:cs="Arial"/>
          <w:b/>
          <w:u w:val="single"/>
        </w:rPr>
      </w:pPr>
    </w:p>
    <w:p w:rsidR="009451DB" w:rsidRDefault="009451DB" w:rsidP="00D40948">
      <w:pPr>
        <w:jc w:val="both"/>
        <w:rPr>
          <w:rFonts w:ascii="Arial" w:hAnsi="Arial" w:cs="Arial"/>
          <w:b/>
          <w:u w:val="single"/>
        </w:rPr>
      </w:pPr>
    </w:p>
    <w:p w:rsidR="009451DB" w:rsidRDefault="009451DB" w:rsidP="00D40948">
      <w:pPr>
        <w:jc w:val="both"/>
        <w:rPr>
          <w:rFonts w:ascii="Arial" w:hAnsi="Arial" w:cs="Arial"/>
          <w:b/>
          <w:u w:val="single"/>
        </w:rPr>
      </w:pPr>
    </w:p>
    <w:p w:rsidR="0063273A" w:rsidRDefault="008455BD" w:rsidP="00D40948">
      <w:pPr>
        <w:jc w:val="both"/>
        <w:rPr>
          <w:rFonts w:ascii="Arial" w:hAnsi="Arial" w:cs="Arial"/>
          <w:b/>
          <w:u w:val="single"/>
        </w:rPr>
      </w:pPr>
      <w:r w:rsidRPr="00F13F40">
        <w:rPr>
          <w:rFonts w:ascii="Arial" w:hAnsi="Arial" w:cs="Arial"/>
          <w:b/>
          <w:u w:val="single"/>
        </w:rPr>
        <w:lastRenderedPageBreak/>
        <w:t xml:space="preserve">Document 3 : </w:t>
      </w:r>
      <w:r w:rsidR="00E9550B">
        <w:rPr>
          <w:rFonts w:ascii="Arial" w:hAnsi="Arial" w:cs="Arial"/>
          <w:b/>
          <w:u w:val="single"/>
        </w:rPr>
        <w:t>Les rôles du microbiote intestinal</w:t>
      </w:r>
      <w:r w:rsidRPr="00F13F40">
        <w:rPr>
          <w:rFonts w:ascii="Arial" w:hAnsi="Arial" w:cs="Arial"/>
          <w:b/>
          <w:u w:val="single"/>
        </w:rPr>
        <w:t>.</w:t>
      </w:r>
    </w:p>
    <w:p w:rsidR="00321EE3" w:rsidRPr="00F13F40" w:rsidRDefault="00E9550B" w:rsidP="00D40948">
      <w:pPr>
        <w:jc w:val="both"/>
        <w:rPr>
          <w:rFonts w:ascii="Arial" w:hAnsi="Arial" w:cs="Arial"/>
          <w:b/>
          <w:u w:val="single"/>
        </w:rPr>
      </w:pPr>
      <w:r>
        <w:rPr>
          <w:rFonts w:ascii="Arial" w:hAnsi="Arial" w:cs="Arial"/>
          <w:b/>
          <w:noProof/>
          <w:u w:val="single"/>
        </w:rPr>
        <w:drawing>
          <wp:inline distT="0" distB="0" distL="0" distR="0">
            <wp:extent cx="6645910" cy="4987290"/>
            <wp:effectExtent l="0" t="0" r="254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e-microbiote-2.jpg"/>
                    <pic:cNvPicPr/>
                  </pic:nvPicPr>
                  <pic:blipFill>
                    <a:blip r:embed="rId8">
                      <a:extLst>
                        <a:ext uri="{28A0092B-C50C-407E-A947-70E740481C1C}">
                          <a14:useLocalDpi xmlns:a14="http://schemas.microsoft.com/office/drawing/2010/main" val="0"/>
                        </a:ext>
                      </a:extLst>
                    </a:blip>
                    <a:stretch>
                      <a:fillRect/>
                    </a:stretch>
                  </pic:blipFill>
                  <pic:spPr>
                    <a:xfrm>
                      <a:off x="0" y="0"/>
                      <a:ext cx="6645910" cy="4987290"/>
                    </a:xfrm>
                    <a:prstGeom prst="rect">
                      <a:avLst/>
                    </a:prstGeom>
                  </pic:spPr>
                </pic:pic>
              </a:graphicData>
            </a:graphic>
          </wp:inline>
        </w:drawing>
      </w:r>
    </w:p>
    <w:p w:rsidR="004E3B94" w:rsidRPr="00F13F40" w:rsidRDefault="00E9550B" w:rsidP="0075798B">
      <w:pPr>
        <w:rPr>
          <w:rFonts w:ascii="Arial" w:hAnsi="Arial" w:cs="Arial"/>
          <w:sz w:val="20"/>
        </w:rPr>
      </w:pPr>
      <w:r>
        <w:rPr>
          <w:rFonts w:ascii="Arial" w:hAnsi="Arial" w:cs="Arial"/>
          <w:sz w:val="20"/>
        </w:rPr>
        <w:t>Parmi les glucides des aliments d’origine végétale, seuls le lactose, le saccharose et en partie l’amidon peuvent être décomposés par nos enzymes digestives (</w:t>
      </w:r>
      <w:proofErr w:type="spellStart"/>
      <w:r>
        <w:rPr>
          <w:rFonts w:ascii="Arial" w:hAnsi="Arial" w:cs="Arial"/>
          <w:sz w:val="20"/>
        </w:rPr>
        <w:t>cf</w:t>
      </w:r>
      <w:proofErr w:type="spellEnd"/>
      <w:r>
        <w:rPr>
          <w:rFonts w:ascii="Arial" w:hAnsi="Arial" w:cs="Arial"/>
          <w:sz w:val="20"/>
        </w:rPr>
        <w:t xml:space="preserve"> TP 4) qui sont au nombre d’une dizaine. Les autres glucides, comme la cell</w:t>
      </w:r>
      <w:r>
        <w:rPr>
          <w:rFonts w:ascii="Arial" w:hAnsi="Arial" w:cs="Arial"/>
          <w:sz w:val="20"/>
        </w:rPr>
        <w:t>u</w:t>
      </w:r>
      <w:r>
        <w:rPr>
          <w:rFonts w:ascii="Arial" w:hAnsi="Arial" w:cs="Arial"/>
          <w:sz w:val="20"/>
        </w:rPr>
        <w:t xml:space="preserve">lose (qui est l’un des constituants de la paroi des cellules végétales </w:t>
      </w:r>
      <w:proofErr w:type="spellStart"/>
      <w:r>
        <w:rPr>
          <w:rFonts w:ascii="Arial" w:hAnsi="Arial" w:cs="Arial"/>
          <w:sz w:val="20"/>
        </w:rPr>
        <w:t>cf</w:t>
      </w:r>
      <w:proofErr w:type="spellEnd"/>
      <w:r>
        <w:rPr>
          <w:rFonts w:ascii="Arial" w:hAnsi="Arial" w:cs="Arial"/>
          <w:sz w:val="20"/>
        </w:rPr>
        <w:t xml:space="preserve"> TP 1), sont appelées fibres alimentaires. </w:t>
      </w:r>
      <w:r w:rsidR="00B10798">
        <w:rPr>
          <w:rFonts w:ascii="Arial" w:hAnsi="Arial" w:cs="Arial"/>
          <w:sz w:val="20"/>
        </w:rPr>
        <w:t>Elle</w:t>
      </w:r>
      <w:r>
        <w:rPr>
          <w:rFonts w:ascii="Arial" w:hAnsi="Arial" w:cs="Arial"/>
          <w:sz w:val="20"/>
        </w:rPr>
        <w:t>s sont digéré</w:t>
      </w:r>
      <w:r w:rsidR="00B10798">
        <w:rPr>
          <w:rFonts w:ascii="Arial" w:hAnsi="Arial" w:cs="Arial"/>
          <w:sz w:val="20"/>
        </w:rPr>
        <w:t>e</w:t>
      </w:r>
      <w:r>
        <w:rPr>
          <w:rFonts w:ascii="Arial" w:hAnsi="Arial" w:cs="Arial"/>
          <w:sz w:val="20"/>
        </w:rPr>
        <w:t>s par les nombreuses enzymes (environ 57 000) produites par le microbiote. Ainsi, nous bénéficions des enzymes du microbiote qui, en retour, se voit accorder habitat et source de nourriture : on peut donc qualifier cette relation de symbiose</w:t>
      </w:r>
      <w:r w:rsidR="009451DB">
        <w:rPr>
          <w:rFonts w:ascii="Arial" w:hAnsi="Arial" w:cs="Arial"/>
          <w:sz w:val="20"/>
        </w:rPr>
        <w:t xml:space="preserve"> (</w:t>
      </w:r>
      <w:proofErr w:type="spellStart"/>
      <w:r w:rsidR="009451DB">
        <w:rPr>
          <w:rFonts w:ascii="Arial" w:hAnsi="Arial" w:cs="Arial"/>
          <w:sz w:val="20"/>
        </w:rPr>
        <w:t>cf</w:t>
      </w:r>
      <w:proofErr w:type="spellEnd"/>
      <w:r w:rsidR="009451DB">
        <w:rPr>
          <w:rFonts w:ascii="Arial" w:hAnsi="Arial" w:cs="Arial"/>
          <w:sz w:val="20"/>
        </w:rPr>
        <w:t xml:space="preserve"> chapitre les écosystèmes)</w:t>
      </w:r>
      <w:r>
        <w:rPr>
          <w:rFonts w:ascii="Arial" w:hAnsi="Arial" w:cs="Arial"/>
          <w:sz w:val="20"/>
        </w:rPr>
        <w:t>.</w:t>
      </w:r>
    </w:p>
    <w:p w:rsidR="00937788" w:rsidRPr="00F13F40" w:rsidRDefault="00937788" w:rsidP="00DB707A">
      <w:pPr>
        <w:rPr>
          <w:rFonts w:ascii="Arial" w:hAnsi="Arial" w:cs="Arial"/>
          <w:b/>
          <w:u w:val="single"/>
        </w:rPr>
      </w:pPr>
      <w:r w:rsidRPr="00F13F40">
        <w:rPr>
          <w:rFonts w:ascii="Arial" w:hAnsi="Arial" w:cs="Arial"/>
          <w:b/>
          <w:u w:val="single"/>
        </w:rPr>
        <w:t xml:space="preserve">Document </w:t>
      </w:r>
      <w:r w:rsidR="008455BD" w:rsidRPr="00F13F40">
        <w:rPr>
          <w:rFonts w:ascii="Arial" w:hAnsi="Arial" w:cs="Arial"/>
          <w:b/>
          <w:u w:val="single"/>
        </w:rPr>
        <w:t>4</w:t>
      </w:r>
      <w:r w:rsidRPr="00F13F40">
        <w:rPr>
          <w:rFonts w:ascii="Arial" w:hAnsi="Arial" w:cs="Arial"/>
          <w:b/>
          <w:u w:val="single"/>
        </w:rPr>
        <w:t xml:space="preserve"> : </w:t>
      </w:r>
      <w:r w:rsidR="009451DB">
        <w:rPr>
          <w:rFonts w:ascii="Arial" w:hAnsi="Arial" w:cs="Arial"/>
          <w:b/>
          <w:u w:val="single"/>
        </w:rPr>
        <w:t>Vue en coupe de la paroi intestinale et des bactéries du microbiote intestinal</w:t>
      </w:r>
      <w:r w:rsidRPr="00F13F40">
        <w:rPr>
          <w:rFonts w:ascii="Arial" w:hAnsi="Arial" w:cs="Arial"/>
          <w:b/>
          <w:u w:val="single"/>
        </w:rPr>
        <w:t>.</w:t>
      </w:r>
    </w:p>
    <w:p w:rsidR="00B37093" w:rsidRPr="00B10798" w:rsidRDefault="009451DB" w:rsidP="00DB707A">
      <w:pPr>
        <w:rPr>
          <w:rFonts w:ascii="Arial" w:hAnsi="Arial" w:cs="Arial"/>
          <w:sz w:val="20"/>
          <w:szCs w:val="20"/>
        </w:rPr>
      </w:pPr>
      <w:r w:rsidRPr="00B10798">
        <w:rPr>
          <w:rFonts w:ascii="Arial" w:hAnsi="Arial" w:cs="Arial"/>
          <w:sz w:val="20"/>
          <w:szCs w:val="20"/>
        </w:rPr>
        <w:t xml:space="preserve">Nous sommes en permanence soumis à une grande quantité d’organismes microscopiques au niveau des zones en contact avec l’extérieur. C’est notamment le cas au niveau de nos </w:t>
      </w:r>
      <w:r w:rsidRPr="00B10798">
        <w:rPr>
          <w:rFonts w:ascii="Arial" w:hAnsi="Arial" w:cs="Arial"/>
          <w:b/>
          <w:sz w:val="20"/>
          <w:szCs w:val="20"/>
        </w:rPr>
        <w:t>muqueuses</w:t>
      </w:r>
      <w:r w:rsidRPr="00B10798">
        <w:rPr>
          <w:rFonts w:ascii="Arial" w:hAnsi="Arial" w:cs="Arial"/>
          <w:sz w:val="20"/>
          <w:szCs w:val="20"/>
        </w:rPr>
        <w:t xml:space="preserve"> intestinales. De la même façon qu’un sol déjà recouvert de végétaux empêche l’installation de nouvelles plantes, le microbiote intestinal empêche la colon</w:t>
      </w:r>
      <w:r w:rsidRPr="00B10798">
        <w:rPr>
          <w:rFonts w:ascii="Arial" w:hAnsi="Arial" w:cs="Arial"/>
          <w:sz w:val="20"/>
          <w:szCs w:val="20"/>
        </w:rPr>
        <w:t>i</w:t>
      </w:r>
      <w:r w:rsidRPr="00B10798">
        <w:rPr>
          <w:rFonts w:ascii="Arial" w:hAnsi="Arial" w:cs="Arial"/>
          <w:sz w:val="20"/>
          <w:szCs w:val="20"/>
        </w:rPr>
        <w:t>sation du tube digestif par des microorganismes pathogènes. Les bactéries entrent en compétition pour les re</w:t>
      </w:r>
      <w:r w:rsidRPr="00B10798">
        <w:rPr>
          <w:rFonts w:ascii="Arial" w:hAnsi="Arial" w:cs="Arial"/>
          <w:sz w:val="20"/>
          <w:szCs w:val="20"/>
        </w:rPr>
        <w:t>s</w:t>
      </w:r>
      <w:r w:rsidRPr="00B10798">
        <w:rPr>
          <w:rFonts w:ascii="Arial" w:hAnsi="Arial" w:cs="Arial"/>
          <w:sz w:val="20"/>
          <w:szCs w:val="20"/>
        </w:rPr>
        <w:t>sources nutritives. De plus, certaines bactéries de notre microbiote sécrètent des substances toxiques pour les bact</w:t>
      </w:r>
      <w:r w:rsidRPr="00B10798">
        <w:rPr>
          <w:rFonts w:ascii="Arial" w:hAnsi="Arial" w:cs="Arial"/>
          <w:sz w:val="20"/>
          <w:szCs w:val="20"/>
        </w:rPr>
        <w:t>é</w:t>
      </w:r>
      <w:r w:rsidRPr="00B10798">
        <w:rPr>
          <w:rFonts w:ascii="Arial" w:hAnsi="Arial" w:cs="Arial"/>
          <w:sz w:val="20"/>
          <w:szCs w:val="20"/>
        </w:rPr>
        <w:t>ries pathogènes</w:t>
      </w:r>
      <w:r w:rsidR="006B5576" w:rsidRPr="00B10798">
        <w:rPr>
          <w:rFonts w:ascii="Arial" w:hAnsi="Arial" w:cs="Arial"/>
          <w:sz w:val="20"/>
          <w:szCs w:val="20"/>
        </w:rPr>
        <w:t xml:space="preserve">, </w:t>
      </w:r>
      <w:r w:rsidR="00B10798">
        <w:rPr>
          <w:rFonts w:ascii="Arial" w:hAnsi="Arial" w:cs="Arial"/>
          <w:sz w:val="20"/>
          <w:szCs w:val="20"/>
        </w:rPr>
        <w:t xml:space="preserve">produisant, en somme, </w:t>
      </w:r>
      <w:r w:rsidR="006B5576" w:rsidRPr="00B10798">
        <w:rPr>
          <w:rFonts w:ascii="Arial" w:hAnsi="Arial" w:cs="Arial"/>
          <w:sz w:val="20"/>
          <w:szCs w:val="20"/>
        </w:rPr>
        <w:t xml:space="preserve">un antibiotique </w:t>
      </w:r>
      <w:r w:rsidR="006B5576" w:rsidRPr="00B10798">
        <w:rPr>
          <w:rFonts w:ascii="Arial" w:hAnsi="Arial" w:cs="Arial"/>
          <w:b/>
          <w:i/>
          <w:sz w:val="20"/>
          <w:szCs w:val="20"/>
        </w:rPr>
        <w:t>in situ</w:t>
      </w:r>
      <w:r w:rsidR="006B5576" w:rsidRPr="00B10798">
        <w:rPr>
          <w:rFonts w:ascii="Arial" w:hAnsi="Arial" w:cs="Arial"/>
          <w:i/>
          <w:sz w:val="20"/>
          <w:szCs w:val="20"/>
        </w:rPr>
        <w:t>.</w:t>
      </w:r>
    </w:p>
    <w:p w:rsidR="00B37093" w:rsidRDefault="006B5576" w:rsidP="00DB707A">
      <w:pPr>
        <w:rPr>
          <w:rFonts w:ascii="Arial" w:hAnsi="Arial" w:cs="Arial"/>
          <w:b/>
          <w:u w:val="single"/>
        </w:rPr>
      </w:pPr>
      <w:r w:rsidRPr="00F13F40">
        <w:rPr>
          <w:rFonts w:ascii="Arial" w:hAnsi="Arial" w:cs="Arial"/>
          <w:b/>
          <w:u w:val="single"/>
        </w:rPr>
        <w:t xml:space="preserve">Document </w:t>
      </w:r>
      <w:r>
        <w:rPr>
          <w:rFonts w:ascii="Arial" w:hAnsi="Arial" w:cs="Arial"/>
          <w:b/>
          <w:u w:val="single"/>
        </w:rPr>
        <w:t>5</w:t>
      </w:r>
      <w:r w:rsidRPr="00F13F40">
        <w:rPr>
          <w:rFonts w:ascii="Arial" w:hAnsi="Arial" w:cs="Arial"/>
          <w:b/>
          <w:u w:val="single"/>
        </w:rPr>
        <w:t xml:space="preserve"> : </w:t>
      </w:r>
      <w:r>
        <w:rPr>
          <w:rFonts w:ascii="Arial" w:hAnsi="Arial" w:cs="Arial"/>
          <w:b/>
          <w:u w:val="single"/>
        </w:rPr>
        <w:t>Effet du microbiote sur le système immunitaire</w:t>
      </w:r>
      <w:r w:rsidRPr="00F13F40">
        <w:rPr>
          <w:rFonts w:ascii="Arial" w:hAnsi="Arial" w:cs="Arial"/>
          <w:b/>
          <w:u w:val="single"/>
        </w:rPr>
        <w:t>.</w:t>
      </w:r>
    </w:p>
    <w:p w:rsidR="006B5576" w:rsidRPr="006B5576" w:rsidRDefault="006B5576" w:rsidP="00DB707A">
      <w:pPr>
        <w:rPr>
          <w:rFonts w:ascii="Arial" w:hAnsi="Arial" w:cs="Arial"/>
        </w:rPr>
      </w:pPr>
      <w:r>
        <w:rPr>
          <w:rFonts w:ascii="Arial" w:hAnsi="Arial" w:cs="Arial"/>
          <w:noProof/>
        </w:rPr>
        <w:lastRenderedPageBreak/>
        <w:drawing>
          <wp:inline distT="0" distB="0" distL="0" distR="0">
            <wp:extent cx="6645910" cy="3079750"/>
            <wp:effectExtent l="0" t="0" r="254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bioteimmu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3079750"/>
                    </a:xfrm>
                    <a:prstGeom prst="rect">
                      <a:avLst/>
                    </a:prstGeom>
                  </pic:spPr>
                </pic:pic>
              </a:graphicData>
            </a:graphic>
          </wp:inline>
        </w:drawing>
      </w:r>
    </w:p>
    <w:p w:rsidR="006B5576" w:rsidRPr="00B10798" w:rsidRDefault="00B10798" w:rsidP="00DB707A">
      <w:pPr>
        <w:rPr>
          <w:rFonts w:ascii="Arial" w:hAnsi="Arial" w:cs="Arial"/>
          <w:sz w:val="20"/>
          <w:szCs w:val="20"/>
        </w:rPr>
      </w:pPr>
      <w:r w:rsidRPr="00B10798">
        <w:rPr>
          <w:rFonts w:ascii="Arial" w:hAnsi="Arial" w:cs="Arial"/>
          <w:sz w:val="20"/>
          <w:szCs w:val="20"/>
        </w:rPr>
        <w:t>La rate, les ganglions lymphatiques et les plaques de Peyer (situées dans l’intestin grêle) sont des structures impl</w:t>
      </w:r>
      <w:r w:rsidRPr="00B10798">
        <w:rPr>
          <w:rFonts w:ascii="Arial" w:hAnsi="Arial" w:cs="Arial"/>
          <w:sz w:val="20"/>
          <w:szCs w:val="20"/>
        </w:rPr>
        <w:t>i</w:t>
      </w:r>
      <w:r w:rsidRPr="00B10798">
        <w:rPr>
          <w:rFonts w:ascii="Arial" w:hAnsi="Arial" w:cs="Arial"/>
          <w:sz w:val="20"/>
          <w:szCs w:val="20"/>
        </w:rPr>
        <w:t xml:space="preserve">quées dans l’immunité. Ils contiennent de nombreuses cellules immunitaires, dont des </w:t>
      </w:r>
      <w:r w:rsidRPr="00B10798">
        <w:rPr>
          <w:rFonts w:ascii="Arial" w:hAnsi="Arial" w:cs="Arial"/>
          <w:b/>
          <w:sz w:val="20"/>
          <w:szCs w:val="20"/>
        </w:rPr>
        <w:t>lymph</w:t>
      </w:r>
      <w:r w:rsidRPr="00B10798">
        <w:rPr>
          <w:rFonts w:ascii="Arial" w:hAnsi="Arial" w:cs="Arial"/>
          <w:b/>
          <w:sz w:val="20"/>
          <w:szCs w:val="20"/>
        </w:rPr>
        <w:t>o</w:t>
      </w:r>
      <w:r w:rsidRPr="00B10798">
        <w:rPr>
          <w:rFonts w:ascii="Arial" w:hAnsi="Arial" w:cs="Arial"/>
          <w:b/>
          <w:sz w:val="20"/>
          <w:szCs w:val="20"/>
        </w:rPr>
        <w:t>cytes</w:t>
      </w:r>
      <w:r w:rsidRPr="00B10798">
        <w:rPr>
          <w:rFonts w:ascii="Arial" w:hAnsi="Arial" w:cs="Arial"/>
          <w:sz w:val="20"/>
          <w:szCs w:val="20"/>
        </w:rPr>
        <w:t>. Pour évaluer l’impact du microbiote sur ces structures, des chercheurs ont comptabilisé le nombre total de cellules qui les constitue et le nombre de lymphocytes qu’ils contiennent chez des souris témoins et chez des souris axéniques.</w:t>
      </w:r>
    </w:p>
    <w:p w:rsidR="00F13F40" w:rsidRPr="001B3BE4" w:rsidRDefault="00F13F40" w:rsidP="00DB707A">
      <w:pPr>
        <w:rPr>
          <w:rFonts w:ascii="Arial" w:hAnsi="Arial" w:cs="Arial"/>
          <w:b/>
          <w:u w:val="single"/>
        </w:rPr>
      </w:pPr>
      <w:r w:rsidRPr="001B3BE4">
        <w:rPr>
          <w:rFonts w:ascii="Arial" w:hAnsi="Arial" w:cs="Arial"/>
          <w:b/>
          <w:u w:val="single"/>
        </w:rPr>
        <w:t>Glossaire :</w:t>
      </w:r>
    </w:p>
    <w:p w:rsidR="00D539EE" w:rsidRDefault="00D539EE" w:rsidP="00DB707A">
      <w:pPr>
        <w:rPr>
          <w:rFonts w:ascii="Arial" w:hAnsi="Arial" w:cs="Arial"/>
          <w:b/>
        </w:rPr>
      </w:pPr>
      <w:r>
        <w:rPr>
          <w:rFonts w:ascii="Arial" w:hAnsi="Arial" w:cs="Arial"/>
          <w:b/>
        </w:rPr>
        <w:t xml:space="preserve">AGCC : </w:t>
      </w:r>
      <w:r w:rsidRPr="00D539EE">
        <w:rPr>
          <w:rFonts w:ascii="Arial" w:hAnsi="Arial" w:cs="Arial"/>
        </w:rPr>
        <w:t>Acide gras à chaîne courte</w:t>
      </w:r>
      <w:r>
        <w:rPr>
          <w:rFonts w:ascii="Arial" w:hAnsi="Arial" w:cs="Arial"/>
        </w:rPr>
        <w:t xml:space="preserve"> (graisse corporelle)</w:t>
      </w:r>
    </w:p>
    <w:p w:rsidR="00F13F40" w:rsidRPr="00F13F40" w:rsidRDefault="00F13F40" w:rsidP="00DB707A">
      <w:pPr>
        <w:rPr>
          <w:rFonts w:ascii="Arial" w:hAnsi="Arial" w:cs="Arial"/>
        </w:rPr>
      </w:pPr>
      <w:proofErr w:type="spellStart"/>
      <w:r w:rsidRPr="00F13F40">
        <w:rPr>
          <w:rFonts w:ascii="Arial" w:hAnsi="Arial" w:cs="Arial"/>
          <w:b/>
        </w:rPr>
        <w:t>A</w:t>
      </w:r>
      <w:r w:rsidR="00B10798">
        <w:rPr>
          <w:rFonts w:ascii="Arial" w:hAnsi="Arial" w:cs="Arial"/>
          <w:b/>
        </w:rPr>
        <w:t>ngiogénès</w:t>
      </w:r>
      <w:r w:rsidR="009179D0">
        <w:rPr>
          <w:rFonts w:ascii="Arial" w:hAnsi="Arial" w:cs="Arial"/>
          <w:b/>
        </w:rPr>
        <w:t>e</w:t>
      </w:r>
      <w:proofErr w:type="spellEnd"/>
      <w:r w:rsidRPr="00F13F40">
        <w:rPr>
          <w:rFonts w:ascii="Arial" w:hAnsi="Arial" w:cs="Arial"/>
        </w:rPr>
        <w:t xml:space="preserve"> : </w:t>
      </w:r>
      <w:r w:rsidR="00B10798">
        <w:rPr>
          <w:rFonts w:ascii="Arial" w:hAnsi="Arial" w:cs="Arial"/>
        </w:rPr>
        <w:t>stimulation de la croissance des vaisseaux sanguins</w:t>
      </w:r>
    </w:p>
    <w:p w:rsidR="00F13F40" w:rsidRPr="00F13F40" w:rsidRDefault="009179D0" w:rsidP="00DB707A">
      <w:pPr>
        <w:rPr>
          <w:rFonts w:ascii="Arial" w:hAnsi="Arial" w:cs="Arial"/>
        </w:rPr>
      </w:pPr>
      <w:r>
        <w:rPr>
          <w:rFonts w:ascii="Arial" w:hAnsi="Arial" w:cs="Arial"/>
          <w:b/>
        </w:rPr>
        <w:t>A</w:t>
      </w:r>
      <w:r w:rsidR="00B10798">
        <w:rPr>
          <w:rFonts w:ascii="Arial" w:hAnsi="Arial" w:cs="Arial"/>
          <w:b/>
        </w:rPr>
        <w:t>xénique</w:t>
      </w:r>
      <w:r w:rsidR="00F13F40" w:rsidRPr="00F13F40">
        <w:rPr>
          <w:rFonts w:ascii="Arial" w:hAnsi="Arial" w:cs="Arial"/>
        </w:rPr>
        <w:t xml:space="preserve"> : </w:t>
      </w:r>
      <w:r w:rsidR="00B10798">
        <w:rPr>
          <w:rFonts w:ascii="Arial" w:hAnsi="Arial" w:cs="Arial"/>
        </w:rPr>
        <w:t>se dit d’un sujet dépourvu de microbiote</w:t>
      </w:r>
    </w:p>
    <w:p w:rsidR="009179D0" w:rsidRDefault="00D539EE" w:rsidP="00DB707A">
      <w:pPr>
        <w:rPr>
          <w:rFonts w:ascii="Arial" w:hAnsi="Arial" w:cs="Arial"/>
          <w:b/>
        </w:rPr>
      </w:pPr>
      <w:r w:rsidRPr="00D539EE">
        <w:rPr>
          <w:rFonts w:ascii="Arial" w:hAnsi="Arial" w:cs="Arial"/>
          <w:b/>
          <w:i/>
        </w:rPr>
        <w:t>In situ</w:t>
      </w:r>
      <w:r w:rsidR="009179D0">
        <w:rPr>
          <w:rFonts w:ascii="Arial" w:hAnsi="Arial" w:cs="Arial"/>
          <w:b/>
        </w:rPr>
        <w:t xml:space="preserve"> : </w:t>
      </w:r>
      <w:r>
        <w:rPr>
          <w:rFonts w:ascii="Arial" w:hAnsi="Arial" w:cs="Arial"/>
        </w:rPr>
        <w:t>sur place</w:t>
      </w:r>
    </w:p>
    <w:p w:rsidR="00F13F40" w:rsidRPr="00F13F40" w:rsidRDefault="00D539EE" w:rsidP="00DB707A">
      <w:pPr>
        <w:rPr>
          <w:rFonts w:ascii="Arial" w:hAnsi="Arial" w:cs="Arial"/>
        </w:rPr>
      </w:pPr>
      <w:r>
        <w:rPr>
          <w:rFonts w:ascii="Arial" w:hAnsi="Arial" w:cs="Arial"/>
          <w:b/>
        </w:rPr>
        <w:t>Lymphocytes</w:t>
      </w:r>
      <w:r w:rsidR="00F13F40" w:rsidRPr="00F13F40">
        <w:rPr>
          <w:rFonts w:ascii="Arial" w:hAnsi="Arial" w:cs="Arial"/>
          <w:b/>
        </w:rPr>
        <w:t>:</w:t>
      </w:r>
      <w:r w:rsidR="00F13F40" w:rsidRPr="00F13F40">
        <w:rPr>
          <w:rFonts w:ascii="Arial" w:hAnsi="Arial" w:cs="Arial"/>
        </w:rPr>
        <w:t xml:space="preserve"> </w:t>
      </w:r>
      <w:r>
        <w:rPr>
          <w:rFonts w:ascii="Arial" w:hAnsi="Arial" w:cs="Arial"/>
        </w:rPr>
        <w:t>globule blanc du système immunitaire acquis</w:t>
      </w:r>
    </w:p>
    <w:p w:rsidR="009179D0" w:rsidRDefault="00D539EE" w:rsidP="00DB707A">
      <w:pPr>
        <w:rPr>
          <w:rFonts w:ascii="Arial" w:hAnsi="Arial" w:cs="Arial"/>
          <w:b/>
        </w:rPr>
      </w:pPr>
      <w:r>
        <w:rPr>
          <w:rFonts w:ascii="Arial" w:hAnsi="Arial" w:cs="Arial"/>
          <w:b/>
        </w:rPr>
        <w:t>Muqueuses</w:t>
      </w:r>
      <w:r w:rsidR="009179D0">
        <w:rPr>
          <w:rFonts w:ascii="Arial" w:hAnsi="Arial" w:cs="Arial"/>
          <w:b/>
        </w:rPr>
        <w:t xml:space="preserve"> : </w:t>
      </w:r>
      <w:r>
        <w:rPr>
          <w:rFonts w:ascii="Arial" w:hAnsi="Arial" w:cs="Arial"/>
        </w:rPr>
        <w:t xml:space="preserve">Tissus perméables qui tapissent les organes en contact avec l’extérieur. </w:t>
      </w:r>
    </w:p>
    <w:p w:rsidR="00F13F40" w:rsidRDefault="00D539EE" w:rsidP="00DB707A">
      <w:pPr>
        <w:rPr>
          <w:rFonts w:ascii="Arial" w:hAnsi="Arial" w:cs="Arial"/>
        </w:rPr>
      </w:pPr>
      <w:r>
        <w:rPr>
          <w:rFonts w:ascii="Arial" w:hAnsi="Arial" w:cs="Arial"/>
          <w:b/>
        </w:rPr>
        <w:t>Selles</w:t>
      </w:r>
      <w:r w:rsidR="00F13F40" w:rsidRPr="00F13F40">
        <w:rPr>
          <w:rFonts w:ascii="Arial" w:hAnsi="Arial" w:cs="Arial"/>
          <w:b/>
        </w:rPr>
        <w:t xml:space="preserve"> : </w:t>
      </w:r>
      <w:r>
        <w:rPr>
          <w:rFonts w:ascii="Arial" w:hAnsi="Arial" w:cs="Arial"/>
        </w:rPr>
        <w:t>Excréments</w:t>
      </w:r>
    </w:p>
    <w:p w:rsidR="009179D0" w:rsidRDefault="009179D0" w:rsidP="00DB707A">
      <w:pPr>
        <w:rPr>
          <w:rFonts w:ascii="Arial" w:hAnsi="Arial" w:cs="Arial"/>
          <w:b/>
          <w:sz w:val="32"/>
          <w:szCs w:val="32"/>
          <w:u w:val="single"/>
        </w:rPr>
      </w:pPr>
      <w:r w:rsidRPr="00D4782B">
        <w:rPr>
          <w:rFonts w:ascii="Arial" w:hAnsi="Arial" w:cs="Arial"/>
          <w:b/>
          <w:sz w:val="32"/>
          <w:szCs w:val="32"/>
          <w:u w:val="single"/>
        </w:rPr>
        <w:t>Question :</w:t>
      </w:r>
      <w:bookmarkStart w:id="0" w:name="_GoBack"/>
      <w:bookmarkEnd w:id="0"/>
    </w:p>
    <w:p w:rsidR="00D539EE" w:rsidRDefault="00D539EE" w:rsidP="00DB707A">
      <w:pPr>
        <w:rPr>
          <w:rFonts w:ascii="Arial" w:hAnsi="Arial" w:cs="Arial"/>
          <w:b/>
          <w:sz w:val="24"/>
          <w:szCs w:val="24"/>
        </w:rPr>
      </w:pPr>
      <w:r w:rsidRPr="00D539EE">
        <w:rPr>
          <w:rFonts w:ascii="Arial" w:hAnsi="Arial" w:cs="Arial"/>
          <w:b/>
          <w:sz w:val="24"/>
          <w:szCs w:val="24"/>
        </w:rPr>
        <w:t>Vous montrerez que le microbiote intestinal agit sur la digestion et sur l’immunité. Votre réponse s’appuiera sur des données expérimentales et des données chiffrées.</w:t>
      </w:r>
    </w:p>
    <w:p w:rsidR="00D539EE" w:rsidRPr="00D539EE" w:rsidRDefault="00D539EE" w:rsidP="00DB707A">
      <w:pPr>
        <w:rPr>
          <w:rFonts w:ascii="Arial" w:hAnsi="Arial" w:cs="Arial"/>
          <w:b/>
          <w:sz w:val="24"/>
          <w:szCs w:val="24"/>
        </w:rPr>
      </w:pPr>
      <w:r>
        <w:rPr>
          <w:rFonts w:ascii="Arial" w:hAnsi="Arial" w:cs="Arial"/>
          <w:b/>
          <w:sz w:val="24"/>
          <w:szCs w:val="24"/>
        </w:rPr>
        <w:t>Forme de la réponse : un texte comportant une courte introduction, deux paragraphes et une conclusion</w:t>
      </w:r>
      <w:r w:rsidR="00406D58">
        <w:rPr>
          <w:rFonts w:ascii="Arial" w:hAnsi="Arial" w:cs="Arial"/>
          <w:b/>
          <w:sz w:val="24"/>
          <w:szCs w:val="24"/>
        </w:rPr>
        <w:t xml:space="preserve"> permettant de répondre à la problématique : </w:t>
      </w:r>
      <w:r w:rsidR="00406D58" w:rsidRPr="00406D58">
        <w:rPr>
          <w:rFonts w:ascii="Arial" w:hAnsi="Arial" w:cs="Arial"/>
          <w:b/>
          <w:color w:val="00B050"/>
          <w:sz w:val="24"/>
          <w:szCs w:val="24"/>
        </w:rPr>
        <w:t>Par quels mécanismes le m</w:t>
      </w:r>
      <w:r w:rsidR="00406D58" w:rsidRPr="00406D58">
        <w:rPr>
          <w:rFonts w:ascii="Arial" w:hAnsi="Arial" w:cs="Arial"/>
          <w:b/>
          <w:color w:val="00B050"/>
          <w:sz w:val="24"/>
          <w:szCs w:val="24"/>
        </w:rPr>
        <w:t>i</w:t>
      </w:r>
      <w:r w:rsidR="00406D58" w:rsidRPr="00406D58">
        <w:rPr>
          <w:rFonts w:ascii="Arial" w:hAnsi="Arial" w:cs="Arial"/>
          <w:b/>
          <w:color w:val="00B050"/>
          <w:sz w:val="24"/>
          <w:szCs w:val="24"/>
        </w:rPr>
        <w:t>crobiote influence-t-il l’état de santé d’un individu ?</w:t>
      </w:r>
    </w:p>
    <w:sectPr w:rsidR="00D539EE" w:rsidRPr="00D539EE" w:rsidSect="00281568">
      <w:pgSz w:w="11906" w:h="16838"/>
      <w:pgMar w:top="418" w:right="720" w:bottom="720" w:left="720" w:header="426"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4D" w:rsidRDefault="00695B4D" w:rsidP="00281568">
      <w:pPr>
        <w:spacing w:after="0" w:line="240" w:lineRule="auto"/>
      </w:pPr>
      <w:r>
        <w:separator/>
      </w:r>
    </w:p>
  </w:endnote>
  <w:endnote w:type="continuationSeparator" w:id="0">
    <w:p w:rsidR="00695B4D" w:rsidRDefault="00695B4D" w:rsidP="0028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4D" w:rsidRDefault="00695B4D" w:rsidP="00281568">
      <w:pPr>
        <w:spacing w:after="0" w:line="240" w:lineRule="auto"/>
      </w:pPr>
      <w:r>
        <w:separator/>
      </w:r>
    </w:p>
  </w:footnote>
  <w:footnote w:type="continuationSeparator" w:id="0">
    <w:p w:rsidR="00695B4D" w:rsidRDefault="00695B4D" w:rsidP="00281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B12"/>
    <w:multiLevelType w:val="hybridMultilevel"/>
    <w:tmpl w:val="340AF1CA"/>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714DDF"/>
    <w:multiLevelType w:val="hybridMultilevel"/>
    <w:tmpl w:val="8DA43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E2E90"/>
    <w:multiLevelType w:val="hybridMultilevel"/>
    <w:tmpl w:val="025CC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9A1AE2"/>
    <w:multiLevelType w:val="hybridMultilevel"/>
    <w:tmpl w:val="BA3C25A2"/>
    <w:lvl w:ilvl="0" w:tplc="369C78B8">
      <w:start w:val="1"/>
      <w:numFmt w:val="bullet"/>
      <w:lvlText w:val=""/>
      <w:lvlJc w:val="left"/>
      <w:pPr>
        <w:ind w:left="360" w:hanging="360"/>
      </w:pPr>
      <w:rPr>
        <w:rFonts w:ascii="Symbol" w:eastAsiaTheme="minorEastAsia"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3EB21A1"/>
    <w:multiLevelType w:val="hybridMultilevel"/>
    <w:tmpl w:val="945E6796"/>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026485"/>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834348"/>
    <w:multiLevelType w:val="hybridMultilevel"/>
    <w:tmpl w:val="6388F830"/>
    <w:lvl w:ilvl="0" w:tplc="101074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7716CD"/>
    <w:multiLevelType w:val="hybridMultilevel"/>
    <w:tmpl w:val="264ED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C822FA"/>
    <w:multiLevelType w:val="hybridMultilevel"/>
    <w:tmpl w:val="60F89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EA6C51"/>
    <w:multiLevelType w:val="hybridMultilevel"/>
    <w:tmpl w:val="CE3A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E126B"/>
    <w:multiLevelType w:val="hybridMultilevel"/>
    <w:tmpl w:val="C77EE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DB5E45"/>
    <w:multiLevelType w:val="hybridMultilevel"/>
    <w:tmpl w:val="2256BD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8F39F8"/>
    <w:multiLevelType w:val="hybridMultilevel"/>
    <w:tmpl w:val="53F09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B5067B"/>
    <w:multiLevelType w:val="hybridMultilevel"/>
    <w:tmpl w:val="EEB2BCB0"/>
    <w:lvl w:ilvl="0" w:tplc="3C88A7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622CC4"/>
    <w:multiLevelType w:val="hybridMultilevel"/>
    <w:tmpl w:val="C7688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F517B0"/>
    <w:multiLevelType w:val="multilevel"/>
    <w:tmpl w:val="C28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0C043F"/>
    <w:multiLevelType w:val="hybridMultilevel"/>
    <w:tmpl w:val="28C2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0935AA"/>
    <w:multiLevelType w:val="hybridMultilevel"/>
    <w:tmpl w:val="ED1CC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6F7268"/>
    <w:multiLevelType w:val="hybridMultilevel"/>
    <w:tmpl w:val="7F8C8E0E"/>
    <w:lvl w:ilvl="0" w:tplc="3A1A6CF2">
      <w:start w:val="1"/>
      <w:numFmt w:val="upperRoman"/>
      <w:lvlText w:val="%1."/>
      <w:lvlJc w:val="left"/>
      <w:pPr>
        <w:ind w:left="1080" w:hanging="720"/>
      </w:pPr>
      <w:rPr>
        <w:rFonts w:hint="default"/>
        <w:strik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FDC00F6"/>
    <w:multiLevelType w:val="hybridMultilevel"/>
    <w:tmpl w:val="538C98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8"/>
  </w:num>
  <w:num w:numId="5">
    <w:abstractNumId w:val="15"/>
  </w:num>
  <w:num w:numId="6">
    <w:abstractNumId w:val="13"/>
  </w:num>
  <w:num w:numId="7">
    <w:abstractNumId w:val="14"/>
  </w:num>
  <w:num w:numId="8">
    <w:abstractNumId w:val="11"/>
  </w:num>
  <w:num w:numId="9">
    <w:abstractNumId w:val="19"/>
  </w:num>
  <w:num w:numId="10">
    <w:abstractNumId w:val="4"/>
  </w:num>
  <w:num w:numId="11">
    <w:abstractNumId w:val="0"/>
  </w:num>
  <w:num w:numId="12">
    <w:abstractNumId w:val="2"/>
  </w:num>
  <w:num w:numId="13">
    <w:abstractNumId w:val="12"/>
  </w:num>
  <w:num w:numId="14">
    <w:abstractNumId w:val="16"/>
  </w:num>
  <w:num w:numId="15">
    <w:abstractNumId w:val="9"/>
  </w:num>
  <w:num w:numId="16">
    <w:abstractNumId w:val="17"/>
  </w:num>
  <w:num w:numId="17">
    <w:abstractNumId w:val="7"/>
  </w:num>
  <w:num w:numId="18">
    <w:abstractNumId w:val="1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B7"/>
    <w:rsid w:val="0000228A"/>
    <w:rsid w:val="00054358"/>
    <w:rsid w:val="000579E8"/>
    <w:rsid w:val="00091D79"/>
    <w:rsid w:val="000A2D08"/>
    <w:rsid w:val="000B70A9"/>
    <w:rsid w:val="000D7996"/>
    <w:rsid w:val="00114888"/>
    <w:rsid w:val="00114DB9"/>
    <w:rsid w:val="00156AE1"/>
    <w:rsid w:val="001B3BE4"/>
    <w:rsid w:val="001D51D3"/>
    <w:rsid w:val="00204B9D"/>
    <w:rsid w:val="00252817"/>
    <w:rsid w:val="00266C8D"/>
    <w:rsid w:val="00281568"/>
    <w:rsid w:val="002A54D4"/>
    <w:rsid w:val="002A55B7"/>
    <w:rsid w:val="002B384D"/>
    <w:rsid w:val="002D2063"/>
    <w:rsid w:val="002F2728"/>
    <w:rsid w:val="002F6418"/>
    <w:rsid w:val="00300C87"/>
    <w:rsid w:val="00321EE3"/>
    <w:rsid w:val="00333A22"/>
    <w:rsid w:val="00361C8E"/>
    <w:rsid w:val="00373C07"/>
    <w:rsid w:val="00380301"/>
    <w:rsid w:val="003D29D6"/>
    <w:rsid w:val="003E158F"/>
    <w:rsid w:val="00400CEC"/>
    <w:rsid w:val="004043C5"/>
    <w:rsid w:val="00404C62"/>
    <w:rsid w:val="00406D58"/>
    <w:rsid w:val="004070AE"/>
    <w:rsid w:val="0046502C"/>
    <w:rsid w:val="00481770"/>
    <w:rsid w:val="004871D1"/>
    <w:rsid w:val="004D1D27"/>
    <w:rsid w:val="004D26E0"/>
    <w:rsid w:val="004D4BDC"/>
    <w:rsid w:val="004D731B"/>
    <w:rsid w:val="004E1135"/>
    <w:rsid w:val="004E3B94"/>
    <w:rsid w:val="00544F50"/>
    <w:rsid w:val="0054524B"/>
    <w:rsid w:val="00556507"/>
    <w:rsid w:val="005714A5"/>
    <w:rsid w:val="00595C93"/>
    <w:rsid w:val="005C6E27"/>
    <w:rsid w:val="005D19FE"/>
    <w:rsid w:val="006065B5"/>
    <w:rsid w:val="006079AB"/>
    <w:rsid w:val="00611C65"/>
    <w:rsid w:val="0062116D"/>
    <w:rsid w:val="0063273A"/>
    <w:rsid w:val="00637F82"/>
    <w:rsid w:val="006437E5"/>
    <w:rsid w:val="006510B4"/>
    <w:rsid w:val="00655CC2"/>
    <w:rsid w:val="00672C11"/>
    <w:rsid w:val="00695B4D"/>
    <w:rsid w:val="006A0041"/>
    <w:rsid w:val="006A5344"/>
    <w:rsid w:val="006B5576"/>
    <w:rsid w:val="006C147E"/>
    <w:rsid w:val="006D5671"/>
    <w:rsid w:val="006E3C21"/>
    <w:rsid w:val="006F5F2D"/>
    <w:rsid w:val="007165AB"/>
    <w:rsid w:val="00744EAE"/>
    <w:rsid w:val="00754AD1"/>
    <w:rsid w:val="0075798B"/>
    <w:rsid w:val="007F5BF5"/>
    <w:rsid w:val="007F6235"/>
    <w:rsid w:val="00802E43"/>
    <w:rsid w:val="008175E5"/>
    <w:rsid w:val="00821606"/>
    <w:rsid w:val="00822AE6"/>
    <w:rsid w:val="008455BD"/>
    <w:rsid w:val="008B6CF2"/>
    <w:rsid w:val="008D6BEC"/>
    <w:rsid w:val="00907148"/>
    <w:rsid w:val="009110CE"/>
    <w:rsid w:val="009166A1"/>
    <w:rsid w:val="009179D0"/>
    <w:rsid w:val="00927188"/>
    <w:rsid w:val="009366DF"/>
    <w:rsid w:val="00937788"/>
    <w:rsid w:val="00940FDF"/>
    <w:rsid w:val="009446F2"/>
    <w:rsid w:val="009451DB"/>
    <w:rsid w:val="00954505"/>
    <w:rsid w:val="009604B5"/>
    <w:rsid w:val="00984F4B"/>
    <w:rsid w:val="0099134C"/>
    <w:rsid w:val="00997C50"/>
    <w:rsid w:val="009C6C4A"/>
    <w:rsid w:val="009D7B9E"/>
    <w:rsid w:val="009D7ED6"/>
    <w:rsid w:val="009F2966"/>
    <w:rsid w:val="00A24A8A"/>
    <w:rsid w:val="00A262CA"/>
    <w:rsid w:val="00A70298"/>
    <w:rsid w:val="00A809C8"/>
    <w:rsid w:val="00A82878"/>
    <w:rsid w:val="00A93A5E"/>
    <w:rsid w:val="00AD0020"/>
    <w:rsid w:val="00AE5C44"/>
    <w:rsid w:val="00B10798"/>
    <w:rsid w:val="00B17A69"/>
    <w:rsid w:val="00B27923"/>
    <w:rsid w:val="00B37093"/>
    <w:rsid w:val="00B43EB7"/>
    <w:rsid w:val="00B639CC"/>
    <w:rsid w:val="00B7763E"/>
    <w:rsid w:val="00B943B2"/>
    <w:rsid w:val="00BF2C4A"/>
    <w:rsid w:val="00BF6AB3"/>
    <w:rsid w:val="00C00FA1"/>
    <w:rsid w:val="00C35846"/>
    <w:rsid w:val="00C45BDC"/>
    <w:rsid w:val="00C525E9"/>
    <w:rsid w:val="00C74BB7"/>
    <w:rsid w:val="00C77C3D"/>
    <w:rsid w:val="00C801ED"/>
    <w:rsid w:val="00CC690E"/>
    <w:rsid w:val="00D075F6"/>
    <w:rsid w:val="00D263B2"/>
    <w:rsid w:val="00D40948"/>
    <w:rsid w:val="00D4782B"/>
    <w:rsid w:val="00D539EE"/>
    <w:rsid w:val="00D6785D"/>
    <w:rsid w:val="00D85A11"/>
    <w:rsid w:val="00D93BD5"/>
    <w:rsid w:val="00DA72E8"/>
    <w:rsid w:val="00DB707A"/>
    <w:rsid w:val="00DF30B5"/>
    <w:rsid w:val="00DF7DCC"/>
    <w:rsid w:val="00E01FBF"/>
    <w:rsid w:val="00E15267"/>
    <w:rsid w:val="00E32F98"/>
    <w:rsid w:val="00E330C4"/>
    <w:rsid w:val="00E421AD"/>
    <w:rsid w:val="00E75E89"/>
    <w:rsid w:val="00E9550B"/>
    <w:rsid w:val="00EC7624"/>
    <w:rsid w:val="00F13F40"/>
    <w:rsid w:val="00F14B95"/>
    <w:rsid w:val="00F45E5C"/>
    <w:rsid w:val="00F61E7D"/>
    <w:rsid w:val="00F85352"/>
    <w:rsid w:val="00FA585A"/>
    <w:rsid w:val="00FB1FF3"/>
    <w:rsid w:val="00FC3BB5"/>
    <w:rsid w:val="00FE7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semiHidden/>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4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204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B9D"/>
    <w:rPr>
      <w:rFonts w:ascii="Tahoma" w:hAnsi="Tahoma" w:cs="Tahoma"/>
      <w:sz w:val="16"/>
      <w:szCs w:val="16"/>
    </w:rPr>
  </w:style>
  <w:style w:type="paragraph" w:styleId="En-tte">
    <w:name w:val="header"/>
    <w:basedOn w:val="Normal"/>
    <w:link w:val="En-tteCar"/>
    <w:uiPriority w:val="99"/>
    <w:unhideWhenUsed/>
    <w:rsid w:val="00281568"/>
    <w:pPr>
      <w:tabs>
        <w:tab w:val="center" w:pos="4536"/>
        <w:tab w:val="right" w:pos="9072"/>
      </w:tabs>
      <w:spacing w:after="0" w:line="240" w:lineRule="auto"/>
    </w:pPr>
  </w:style>
  <w:style w:type="character" w:customStyle="1" w:styleId="En-tteCar">
    <w:name w:val="En-tête Car"/>
    <w:basedOn w:val="Policepardfaut"/>
    <w:link w:val="En-tte"/>
    <w:uiPriority w:val="99"/>
    <w:rsid w:val="00281568"/>
  </w:style>
  <w:style w:type="paragraph" w:styleId="Pieddepage">
    <w:name w:val="footer"/>
    <w:basedOn w:val="Normal"/>
    <w:link w:val="PieddepageCar"/>
    <w:uiPriority w:val="99"/>
    <w:unhideWhenUsed/>
    <w:rsid w:val="00281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568"/>
  </w:style>
  <w:style w:type="paragraph" w:styleId="Sansinterligne">
    <w:name w:val="No Spacing"/>
    <w:link w:val="SansinterligneCar"/>
    <w:uiPriority w:val="1"/>
    <w:qFormat/>
    <w:rsid w:val="00281568"/>
    <w:pPr>
      <w:spacing w:after="0" w:line="240" w:lineRule="auto"/>
    </w:pPr>
  </w:style>
  <w:style w:type="character" w:customStyle="1" w:styleId="SansinterligneCar">
    <w:name w:val="Sans interligne Car"/>
    <w:basedOn w:val="Policepardfaut"/>
    <w:link w:val="Sansinterligne"/>
    <w:uiPriority w:val="1"/>
    <w:rsid w:val="00281568"/>
    <w:rPr>
      <w:rFonts w:eastAsiaTheme="minorEastAsia"/>
    </w:rPr>
  </w:style>
  <w:style w:type="paragraph" w:styleId="Paragraphedeliste">
    <w:name w:val="List Paragraph"/>
    <w:basedOn w:val="Normal"/>
    <w:uiPriority w:val="34"/>
    <w:qFormat/>
    <w:rsid w:val="00754AD1"/>
    <w:pPr>
      <w:ind w:left="720"/>
      <w:contextualSpacing/>
    </w:pPr>
  </w:style>
  <w:style w:type="character" w:styleId="Lienhypertexte">
    <w:name w:val="Hyperlink"/>
    <w:basedOn w:val="Policepardfaut"/>
    <w:uiPriority w:val="99"/>
    <w:semiHidden/>
    <w:unhideWhenUsed/>
    <w:rsid w:val="00C77C3D"/>
    <w:rPr>
      <w:color w:val="0000FF"/>
      <w:u w:val="single"/>
    </w:rPr>
  </w:style>
  <w:style w:type="paragraph" w:styleId="NormalWeb">
    <w:name w:val="Normal (Web)"/>
    <w:basedOn w:val="Normal"/>
    <w:uiPriority w:val="99"/>
    <w:semiHidden/>
    <w:unhideWhenUsed/>
    <w:rsid w:val="00C77C3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EC762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6286">
      <w:bodyDiv w:val="1"/>
      <w:marLeft w:val="0"/>
      <w:marRight w:val="0"/>
      <w:marTop w:val="0"/>
      <w:marBottom w:val="0"/>
      <w:divBdr>
        <w:top w:val="none" w:sz="0" w:space="0" w:color="auto"/>
        <w:left w:val="none" w:sz="0" w:space="0" w:color="auto"/>
        <w:bottom w:val="none" w:sz="0" w:space="0" w:color="auto"/>
        <w:right w:val="none" w:sz="0" w:space="0" w:color="auto"/>
      </w:divBdr>
      <w:divsChild>
        <w:div w:id="1558009625">
          <w:marLeft w:val="0"/>
          <w:marRight w:val="0"/>
          <w:marTop w:val="0"/>
          <w:marBottom w:val="0"/>
          <w:divBdr>
            <w:top w:val="none" w:sz="0" w:space="0" w:color="auto"/>
            <w:left w:val="none" w:sz="0" w:space="0" w:color="auto"/>
            <w:bottom w:val="none" w:sz="0" w:space="0" w:color="auto"/>
            <w:right w:val="none" w:sz="0" w:space="0" w:color="auto"/>
          </w:divBdr>
          <w:divsChild>
            <w:div w:id="891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4687">
      <w:bodyDiv w:val="1"/>
      <w:marLeft w:val="0"/>
      <w:marRight w:val="0"/>
      <w:marTop w:val="0"/>
      <w:marBottom w:val="0"/>
      <w:divBdr>
        <w:top w:val="none" w:sz="0" w:space="0" w:color="auto"/>
        <w:left w:val="none" w:sz="0" w:space="0" w:color="auto"/>
        <w:bottom w:val="none" w:sz="0" w:space="0" w:color="auto"/>
        <w:right w:val="none" w:sz="0" w:space="0" w:color="auto"/>
      </w:divBdr>
      <w:divsChild>
        <w:div w:id="2052612220">
          <w:marLeft w:val="0"/>
          <w:marRight w:val="0"/>
          <w:marTop w:val="0"/>
          <w:marBottom w:val="0"/>
          <w:divBdr>
            <w:top w:val="none" w:sz="0" w:space="0" w:color="auto"/>
            <w:left w:val="none" w:sz="0" w:space="0" w:color="auto"/>
            <w:bottom w:val="none" w:sz="0" w:space="0" w:color="auto"/>
            <w:right w:val="none" w:sz="0" w:space="0" w:color="auto"/>
          </w:divBdr>
          <w:divsChild>
            <w:div w:id="1708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566">
      <w:bodyDiv w:val="1"/>
      <w:marLeft w:val="0"/>
      <w:marRight w:val="0"/>
      <w:marTop w:val="0"/>
      <w:marBottom w:val="0"/>
      <w:divBdr>
        <w:top w:val="none" w:sz="0" w:space="0" w:color="auto"/>
        <w:left w:val="none" w:sz="0" w:space="0" w:color="auto"/>
        <w:bottom w:val="none" w:sz="0" w:space="0" w:color="auto"/>
        <w:right w:val="none" w:sz="0" w:space="0" w:color="auto"/>
      </w:divBdr>
      <w:divsChild>
        <w:div w:id="328605723">
          <w:marLeft w:val="0"/>
          <w:marRight w:val="0"/>
          <w:marTop w:val="0"/>
          <w:marBottom w:val="0"/>
          <w:divBdr>
            <w:top w:val="none" w:sz="0" w:space="0" w:color="auto"/>
            <w:left w:val="none" w:sz="0" w:space="0" w:color="auto"/>
            <w:bottom w:val="none" w:sz="0" w:space="0" w:color="auto"/>
            <w:right w:val="none" w:sz="0" w:space="0" w:color="auto"/>
          </w:divBdr>
          <w:divsChild>
            <w:div w:id="16700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303">
      <w:bodyDiv w:val="1"/>
      <w:marLeft w:val="0"/>
      <w:marRight w:val="0"/>
      <w:marTop w:val="0"/>
      <w:marBottom w:val="0"/>
      <w:divBdr>
        <w:top w:val="none" w:sz="0" w:space="0" w:color="auto"/>
        <w:left w:val="none" w:sz="0" w:space="0" w:color="auto"/>
        <w:bottom w:val="none" w:sz="0" w:space="0" w:color="auto"/>
        <w:right w:val="none" w:sz="0" w:space="0" w:color="auto"/>
      </w:divBdr>
      <w:divsChild>
        <w:div w:id="54744173">
          <w:marLeft w:val="0"/>
          <w:marRight w:val="0"/>
          <w:marTop w:val="0"/>
          <w:marBottom w:val="0"/>
          <w:divBdr>
            <w:top w:val="none" w:sz="0" w:space="0" w:color="auto"/>
            <w:left w:val="none" w:sz="0" w:space="0" w:color="auto"/>
            <w:bottom w:val="none" w:sz="0" w:space="0" w:color="auto"/>
            <w:right w:val="none" w:sz="0" w:space="0" w:color="auto"/>
          </w:divBdr>
          <w:divsChild>
            <w:div w:id="8185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54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72">
          <w:marLeft w:val="0"/>
          <w:marRight w:val="0"/>
          <w:marTop w:val="0"/>
          <w:marBottom w:val="0"/>
          <w:divBdr>
            <w:top w:val="none" w:sz="0" w:space="0" w:color="auto"/>
            <w:left w:val="none" w:sz="0" w:space="0" w:color="auto"/>
            <w:bottom w:val="none" w:sz="0" w:space="0" w:color="auto"/>
            <w:right w:val="none" w:sz="0" w:space="0" w:color="auto"/>
          </w:divBdr>
          <w:divsChild>
            <w:div w:id="15394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Éducation Nationale</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Yaume</dc:creator>
  <cp:lastModifiedBy>Yaume</cp:lastModifiedBy>
  <cp:revision>2</cp:revision>
  <cp:lastPrinted>2017-05-08T18:56:00Z</cp:lastPrinted>
  <dcterms:created xsi:type="dcterms:W3CDTF">2020-05-11T06:45:00Z</dcterms:created>
  <dcterms:modified xsi:type="dcterms:W3CDTF">2020-05-11T06:45:00Z</dcterms:modified>
</cp:coreProperties>
</file>