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40" w:type="dxa"/>
        <w:tblLayout w:type="fixed"/>
        <w:tblLook w:val="04A0" w:firstRow="1" w:lastRow="0" w:firstColumn="1" w:lastColumn="0" w:noHBand="0" w:noVBand="1"/>
      </w:tblPr>
      <w:tblGrid>
        <w:gridCol w:w="675"/>
        <w:gridCol w:w="142"/>
        <w:gridCol w:w="709"/>
        <w:gridCol w:w="32"/>
        <w:gridCol w:w="7055"/>
        <w:gridCol w:w="1134"/>
        <w:gridCol w:w="993"/>
      </w:tblGrid>
      <w:tr w:rsidR="00822AE6" w:rsidTr="00F61E7D">
        <w:trPr>
          <w:trHeight w:val="670"/>
        </w:trPr>
        <w:tc>
          <w:tcPr>
            <w:tcW w:w="817" w:type="dxa"/>
            <w:gridSpan w:val="2"/>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091D79" w:rsidRPr="009F2966" w:rsidRDefault="00091D79" w:rsidP="009F2966">
            <w:pPr>
              <w:jc w:val="right"/>
              <w:rPr>
                <w:b/>
                <w:sz w:val="28"/>
                <w:szCs w:val="28"/>
              </w:rPr>
            </w:pPr>
            <w:r w:rsidRPr="009F2966">
              <w:rPr>
                <w:b/>
                <w:sz w:val="28"/>
                <w:szCs w:val="28"/>
              </w:rPr>
              <w:t>TP n°</w:t>
            </w:r>
          </w:p>
        </w:tc>
        <w:tc>
          <w:tcPr>
            <w:tcW w:w="709" w:type="dxa"/>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091D79" w:rsidRPr="009F2966" w:rsidRDefault="009366DF" w:rsidP="00984F4B">
            <w:pPr>
              <w:rPr>
                <w:b/>
                <w:sz w:val="40"/>
                <w:szCs w:val="40"/>
              </w:rPr>
            </w:pPr>
            <w:r>
              <w:rPr>
                <w:b/>
                <w:sz w:val="40"/>
                <w:szCs w:val="40"/>
              </w:rPr>
              <w:t>6</w:t>
            </w:r>
            <w:bookmarkStart w:id="0" w:name="_GoBack"/>
            <w:bookmarkEnd w:id="0"/>
          </w:p>
        </w:tc>
        <w:tc>
          <w:tcPr>
            <w:tcW w:w="7087" w:type="dxa"/>
            <w:gridSpan w:val="2"/>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091D79" w:rsidRPr="00E32F98" w:rsidRDefault="009366DF" w:rsidP="002D2063">
            <w:pPr>
              <w:jc w:val="center"/>
              <w:rPr>
                <w:b/>
                <w:smallCaps/>
                <w:sz w:val="72"/>
                <w:szCs w:val="72"/>
              </w:rPr>
            </w:pPr>
            <w:r>
              <w:rPr>
                <w:b/>
                <w:smallCaps/>
                <w:sz w:val="56"/>
                <w:szCs w:val="72"/>
              </w:rPr>
              <w:t>Le SIDA</w:t>
            </w:r>
          </w:p>
        </w:tc>
        <w:tc>
          <w:tcPr>
            <w:tcW w:w="1134" w:type="dxa"/>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091D79" w:rsidRPr="00F61E7D" w:rsidRDefault="00822AE6" w:rsidP="00822AE6">
            <w:pPr>
              <w:jc w:val="center"/>
              <w:rPr>
                <w:rFonts w:ascii="Arial" w:hAnsi="Arial" w:cs="Arial"/>
                <w:b/>
                <w:sz w:val="24"/>
                <w:szCs w:val="24"/>
              </w:rPr>
            </w:pPr>
            <w:r w:rsidRPr="00F61E7D">
              <w:rPr>
                <w:rFonts w:ascii="Arial" w:hAnsi="Arial" w:cs="Arial"/>
                <w:b/>
                <w:sz w:val="24"/>
                <w:szCs w:val="24"/>
              </w:rPr>
              <w:t>Durée :</w:t>
            </w:r>
          </w:p>
        </w:tc>
        <w:tc>
          <w:tcPr>
            <w:tcW w:w="993" w:type="dxa"/>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091D79" w:rsidRPr="00F61E7D" w:rsidRDefault="00822AE6" w:rsidP="00822AE6">
            <w:pPr>
              <w:rPr>
                <w:rFonts w:ascii="Arial" w:hAnsi="Arial" w:cs="Arial"/>
                <w:b/>
                <w:sz w:val="24"/>
                <w:szCs w:val="24"/>
              </w:rPr>
            </w:pPr>
            <w:r w:rsidRPr="00F61E7D">
              <w:rPr>
                <w:rFonts w:ascii="Arial" w:hAnsi="Arial" w:cs="Arial"/>
                <w:b/>
                <w:sz w:val="24"/>
                <w:szCs w:val="24"/>
              </w:rPr>
              <w:t>1 h</w:t>
            </w:r>
            <w:r w:rsidR="00F61E7D" w:rsidRPr="00F61E7D">
              <w:rPr>
                <w:rFonts w:ascii="Arial" w:hAnsi="Arial" w:cs="Arial"/>
                <w:b/>
                <w:sz w:val="24"/>
                <w:szCs w:val="24"/>
              </w:rPr>
              <w:t>30</w:t>
            </w:r>
          </w:p>
        </w:tc>
      </w:tr>
      <w:tr w:rsidR="00822AE6" w:rsidTr="00F61E7D">
        <w:trPr>
          <w:trHeight w:val="390"/>
        </w:trPr>
        <w:tc>
          <w:tcPr>
            <w:tcW w:w="675" w:type="dxa"/>
            <w:tcBorders>
              <w:top w:val="single" w:sz="18" w:space="0" w:color="000000" w:themeColor="text1"/>
              <w:left w:val="single" w:sz="18" w:space="0" w:color="000000" w:themeColor="text1"/>
              <w:bottom w:val="single" w:sz="18" w:space="0" w:color="000000" w:themeColor="text1"/>
              <w:right w:val="nil"/>
            </w:tcBorders>
            <w:shd w:val="clear" w:color="auto" w:fill="auto"/>
            <w:vAlign w:val="center"/>
          </w:tcPr>
          <w:p w:rsidR="00822AE6" w:rsidRPr="00822AE6" w:rsidRDefault="00822AE6" w:rsidP="00C74BB7">
            <w:pPr>
              <w:jc w:val="center"/>
              <w:rPr>
                <w:b/>
                <w:sz w:val="28"/>
              </w:rPr>
            </w:pPr>
            <w:r w:rsidRPr="00822AE6">
              <w:rPr>
                <w:b/>
                <w:sz w:val="28"/>
              </w:rPr>
              <w:t>SVT</w:t>
            </w:r>
          </w:p>
        </w:tc>
        <w:tc>
          <w:tcPr>
            <w:tcW w:w="851" w:type="dxa"/>
            <w:gridSpan w:val="2"/>
            <w:tcBorders>
              <w:top w:val="single" w:sz="18" w:space="0" w:color="000000" w:themeColor="text1"/>
              <w:left w:val="nil"/>
              <w:bottom w:val="single" w:sz="18" w:space="0" w:color="000000" w:themeColor="text1"/>
              <w:right w:val="single" w:sz="18" w:space="0" w:color="000000" w:themeColor="text1"/>
            </w:tcBorders>
            <w:shd w:val="clear" w:color="auto" w:fill="auto"/>
            <w:vAlign w:val="center"/>
          </w:tcPr>
          <w:p w:rsidR="00822AE6" w:rsidRDefault="00672C11" w:rsidP="009F2966">
            <w:pPr>
              <w:jc w:val="center"/>
              <w:rPr>
                <w:b/>
                <w:sz w:val="48"/>
              </w:rPr>
            </w:pPr>
            <w:r>
              <w:rPr>
                <w:b/>
                <w:sz w:val="18"/>
              </w:rPr>
              <w:t>biologie</w:t>
            </w:r>
          </w:p>
        </w:tc>
        <w:tc>
          <w:tcPr>
            <w:tcW w:w="7087" w:type="dxa"/>
            <w:gridSpan w:val="2"/>
            <w:vMerge/>
            <w:tcBorders>
              <w:top w:val="nil"/>
              <w:left w:val="single" w:sz="18" w:space="0" w:color="000000" w:themeColor="text1"/>
              <w:bottom w:val="single" w:sz="2" w:space="0" w:color="000000" w:themeColor="text1"/>
              <w:right w:val="single" w:sz="18" w:space="0" w:color="000000" w:themeColor="text1"/>
            </w:tcBorders>
            <w:shd w:val="clear" w:color="auto" w:fill="auto"/>
            <w:vAlign w:val="center"/>
          </w:tcPr>
          <w:p w:rsidR="00822AE6" w:rsidRDefault="00822AE6" w:rsidP="00C74BB7"/>
        </w:tc>
        <w:tc>
          <w:tcPr>
            <w:tcW w:w="212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A24A8A" w:rsidRPr="009F2966" w:rsidRDefault="00A24A8A" w:rsidP="00A24A8A">
            <w:pPr>
              <w:ind w:right="34"/>
              <w:jc w:val="center"/>
              <w:rPr>
                <w:b/>
                <w:sz w:val="36"/>
              </w:rPr>
            </w:pPr>
          </w:p>
        </w:tc>
      </w:tr>
      <w:tr w:rsidR="005D19FE" w:rsidRPr="005D19FE" w:rsidTr="00F61E7D">
        <w:tc>
          <w:tcPr>
            <w:tcW w:w="10740" w:type="dxa"/>
            <w:gridSpan w:val="7"/>
            <w:tcBorders>
              <w:top w:val="single" w:sz="18" w:space="0" w:color="000000" w:themeColor="text1"/>
              <w:left w:val="nil"/>
              <w:bottom w:val="nil"/>
              <w:right w:val="nil"/>
            </w:tcBorders>
            <w:shd w:val="clear" w:color="auto" w:fill="auto"/>
          </w:tcPr>
          <w:p w:rsidR="005D19FE" w:rsidRPr="005D19FE" w:rsidRDefault="007165AB" w:rsidP="007F5BF5">
            <w:pPr>
              <w:jc w:val="center"/>
              <w:rPr>
                <w:b/>
                <w:smallCaps/>
                <w:color w:val="404040" w:themeColor="text1" w:themeTint="BF"/>
                <w:sz w:val="32"/>
              </w:rPr>
            </w:pPr>
            <w:r>
              <w:rPr>
                <w:b/>
                <w:smallCaps/>
                <w:color w:val="404040" w:themeColor="text1" w:themeTint="BF"/>
                <w:sz w:val="32"/>
              </w:rPr>
              <w:t>Thème</w:t>
            </w:r>
            <w:r w:rsidR="00F85352">
              <w:rPr>
                <w:b/>
                <w:smallCaps/>
                <w:color w:val="404040" w:themeColor="text1" w:themeTint="BF"/>
                <w:sz w:val="32"/>
              </w:rPr>
              <w:t xml:space="preserve"> </w:t>
            </w:r>
            <w:r w:rsidR="007F5BF5">
              <w:rPr>
                <w:b/>
                <w:smallCaps/>
                <w:color w:val="404040" w:themeColor="text1" w:themeTint="BF"/>
                <w:sz w:val="32"/>
              </w:rPr>
              <w:t>3</w:t>
            </w:r>
            <w:r w:rsidR="005D19FE" w:rsidRPr="005D19FE">
              <w:rPr>
                <w:b/>
                <w:smallCaps/>
                <w:color w:val="404040" w:themeColor="text1" w:themeTint="BF"/>
                <w:sz w:val="32"/>
              </w:rPr>
              <w:t xml:space="preserve"> : </w:t>
            </w:r>
            <w:r w:rsidR="007F5BF5">
              <w:rPr>
                <w:b/>
                <w:smallCaps/>
                <w:color w:val="404040" w:themeColor="text1" w:themeTint="BF"/>
                <w:sz w:val="32"/>
              </w:rPr>
              <w:t>Corps humain et santé</w:t>
            </w:r>
          </w:p>
        </w:tc>
      </w:tr>
      <w:tr w:rsidR="00C74BB7" w:rsidTr="00F61E7D">
        <w:tc>
          <w:tcPr>
            <w:tcW w:w="10740" w:type="dxa"/>
            <w:gridSpan w:val="7"/>
            <w:tcBorders>
              <w:top w:val="nil"/>
              <w:left w:val="nil"/>
              <w:bottom w:val="single" w:sz="4" w:space="0" w:color="auto"/>
              <w:right w:val="nil"/>
            </w:tcBorders>
            <w:shd w:val="clear" w:color="auto" w:fill="auto"/>
          </w:tcPr>
          <w:p w:rsidR="00C74BB7" w:rsidRDefault="00C74BB7"/>
        </w:tc>
      </w:tr>
      <w:tr w:rsidR="00091D79" w:rsidTr="00F61E7D">
        <w:tc>
          <w:tcPr>
            <w:tcW w:w="1558" w:type="dxa"/>
            <w:gridSpan w:val="4"/>
            <w:tcBorders>
              <w:top w:val="single" w:sz="4" w:space="0" w:color="auto"/>
              <w:left w:val="single" w:sz="4" w:space="0" w:color="auto"/>
            </w:tcBorders>
            <w:shd w:val="clear" w:color="auto" w:fill="auto"/>
          </w:tcPr>
          <w:p w:rsidR="00091D79" w:rsidRPr="00D40948" w:rsidRDefault="00091D79">
            <w:pPr>
              <w:rPr>
                <w:b/>
                <w:sz w:val="18"/>
              </w:rPr>
            </w:pPr>
            <w:r w:rsidRPr="00D40948">
              <w:rPr>
                <w:b/>
                <w:sz w:val="18"/>
              </w:rPr>
              <w:t>Introduction :</w:t>
            </w:r>
          </w:p>
        </w:tc>
        <w:tc>
          <w:tcPr>
            <w:tcW w:w="9182" w:type="dxa"/>
            <w:gridSpan w:val="3"/>
            <w:tcBorders>
              <w:top w:val="single" w:sz="4" w:space="0" w:color="auto"/>
              <w:right w:val="single" w:sz="4" w:space="0" w:color="auto"/>
            </w:tcBorders>
            <w:shd w:val="clear" w:color="auto" w:fill="auto"/>
          </w:tcPr>
          <w:p w:rsidR="00F45E5C" w:rsidRPr="009110CE" w:rsidRDefault="00B639CC" w:rsidP="00DB707A">
            <w:pPr>
              <w:jc w:val="both"/>
              <w:rPr>
                <w:sz w:val="20"/>
              </w:rPr>
            </w:pPr>
            <w:r>
              <w:rPr>
                <w:sz w:val="20"/>
              </w:rPr>
              <w:t>Le VIH (virus de l’immunodéficience humaine) est, comme tous les virus, un parasite qui doit s’introduire dans une cellule pour s’y reproduire. Il est à l’origine du SIDA (syndrome d’immunodéficience acquise), maladie mortelle qui se manifeste par un effondrement des défenses immunitaires.</w:t>
            </w:r>
            <w:r w:rsidR="002D2063">
              <w:rPr>
                <w:sz w:val="20"/>
              </w:rPr>
              <w:t xml:space="preserve"> </w:t>
            </w:r>
          </w:p>
        </w:tc>
      </w:tr>
      <w:tr w:rsidR="00091D79" w:rsidTr="00F61E7D">
        <w:tc>
          <w:tcPr>
            <w:tcW w:w="1558" w:type="dxa"/>
            <w:gridSpan w:val="4"/>
            <w:tcBorders>
              <w:left w:val="single" w:sz="4" w:space="0" w:color="auto"/>
            </w:tcBorders>
            <w:shd w:val="clear" w:color="auto" w:fill="auto"/>
          </w:tcPr>
          <w:p w:rsidR="00091D79" w:rsidRPr="00D40948" w:rsidRDefault="00091D79">
            <w:pPr>
              <w:rPr>
                <w:b/>
                <w:sz w:val="18"/>
              </w:rPr>
            </w:pPr>
            <w:r w:rsidRPr="00D40948">
              <w:rPr>
                <w:b/>
                <w:sz w:val="18"/>
              </w:rPr>
              <w:t>Problématique</w:t>
            </w:r>
            <w:r w:rsidR="00D40948">
              <w:rPr>
                <w:b/>
                <w:sz w:val="18"/>
              </w:rPr>
              <w:t> :</w:t>
            </w:r>
          </w:p>
        </w:tc>
        <w:tc>
          <w:tcPr>
            <w:tcW w:w="9182" w:type="dxa"/>
            <w:gridSpan w:val="3"/>
            <w:tcBorders>
              <w:right w:val="single" w:sz="4" w:space="0" w:color="auto"/>
            </w:tcBorders>
            <w:shd w:val="clear" w:color="auto" w:fill="auto"/>
          </w:tcPr>
          <w:p w:rsidR="00091D79" w:rsidRPr="009110CE" w:rsidRDefault="00B639CC" w:rsidP="00B639CC">
            <w:pPr>
              <w:jc w:val="both"/>
              <w:rPr>
                <w:sz w:val="20"/>
              </w:rPr>
            </w:pPr>
            <w:r>
              <w:rPr>
                <w:sz w:val="20"/>
              </w:rPr>
              <w:t>Comment le VIH peut-il être à l’origine de l’épidémie de SIDA</w:t>
            </w:r>
            <w:r w:rsidR="009110CE" w:rsidRPr="009110CE">
              <w:rPr>
                <w:sz w:val="20"/>
              </w:rPr>
              <w:t>?</w:t>
            </w:r>
          </w:p>
        </w:tc>
      </w:tr>
      <w:tr w:rsidR="00091D79" w:rsidTr="00F61E7D">
        <w:tc>
          <w:tcPr>
            <w:tcW w:w="1558" w:type="dxa"/>
            <w:gridSpan w:val="4"/>
            <w:tcBorders>
              <w:left w:val="single" w:sz="4" w:space="0" w:color="auto"/>
            </w:tcBorders>
            <w:shd w:val="clear" w:color="auto" w:fill="auto"/>
          </w:tcPr>
          <w:p w:rsidR="00091D79" w:rsidRPr="00D40948" w:rsidRDefault="00091D79">
            <w:pPr>
              <w:rPr>
                <w:b/>
                <w:sz w:val="18"/>
              </w:rPr>
            </w:pPr>
            <w:r w:rsidRPr="00D40948">
              <w:rPr>
                <w:b/>
                <w:sz w:val="18"/>
              </w:rPr>
              <w:t>Objectifs :</w:t>
            </w:r>
          </w:p>
        </w:tc>
        <w:tc>
          <w:tcPr>
            <w:tcW w:w="9182" w:type="dxa"/>
            <w:gridSpan w:val="3"/>
            <w:tcBorders>
              <w:right w:val="single" w:sz="4" w:space="0" w:color="auto"/>
            </w:tcBorders>
            <w:shd w:val="clear" w:color="auto" w:fill="auto"/>
          </w:tcPr>
          <w:p w:rsidR="00091D79" w:rsidRPr="009110CE" w:rsidRDefault="009110CE" w:rsidP="009110CE">
            <w:pPr>
              <w:jc w:val="both"/>
              <w:rPr>
                <w:sz w:val="20"/>
              </w:rPr>
            </w:pPr>
            <w:r w:rsidRPr="009110CE">
              <w:rPr>
                <w:sz w:val="20"/>
              </w:rPr>
              <w:t xml:space="preserve">Analyser des documents, </w:t>
            </w:r>
            <w:r w:rsidR="0075798B">
              <w:rPr>
                <w:sz w:val="20"/>
              </w:rPr>
              <w:t xml:space="preserve">comparer, </w:t>
            </w:r>
            <w:r w:rsidRPr="009110CE">
              <w:rPr>
                <w:sz w:val="20"/>
              </w:rPr>
              <w:t>raisonner.</w:t>
            </w:r>
          </w:p>
        </w:tc>
      </w:tr>
    </w:tbl>
    <w:p w:rsidR="002A55B7" w:rsidRDefault="002A55B7" w:rsidP="00D40948">
      <w:pPr>
        <w:jc w:val="both"/>
      </w:pPr>
    </w:p>
    <w:p w:rsidR="00AD0020" w:rsidRDefault="00AD0020" w:rsidP="00AD0020">
      <w:pPr>
        <w:spacing w:after="0"/>
        <w:jc w:val="both"/>
        <w:rPr>
          <w:b/>
          <w:u w:val="single"/>
        </w:rPr>
      </w:pPr>
      <w:r w:rsidRPr="00AD0020">
        <w:rPr>
          <w:b/>
          <w:u w:val="single"/>
        </w:rPr>
        <w:t xml:space="preserve">Document 1 : </w:t>
      </w:r>
      <w:r w:rsidR="0075798B">
        <w:rPr>
          <w:b/>
          <w:u w:val="single"/>
        </w:rPr>
        <w:t>L</w:t>
      </w:r>
      <w:r w:rsidR="00B639CC">
        <w:rPr>
          <w:b/>
          <w:u w:val="single"/>
        </w:rPr>
        <w:t>’infection des cellules immunitaires par le VIH</w:t>
      </w:r>
      <w:r w:rsidRPr="00AD0020">
        <w:rPr>
          <w:b/>
          <w:u w:val="single"/>
        </w:rPr>
        <w:t>.</w:t>
      </w:r>
    </w:p>
    <w:p w:rsidR="005C6E27" w:rsidRDefault="005C6E27" w:rsidP="00300C87">
      <w:pPr>
        <w:spacing w:after="0"/>
        <w:jc w:val="center"/>
        <w:rPr>
          <w:b/>
          <w:u w:val="single"/>
        </w:rPr>
      </w:pPr>
    </w:p>
    <w:p w:rsidR="00B639CC" w:rsidRDefault="00B639CC" w:rsidP="00B639CC">
      <w:pPr>
        <w:spacing w:after="0"/>
      </w:pPr>
      <w:r w:rsidRPr="00B639CC">
        <w:t>Chez une personne contaminée, le VIH</w:t>
      </w:r>
      <w:r>
        <w:t xml:space="preserve"> infecte principalement une catégorie bien particulière de cellules immun</w:t>
      </w:r>
      <w:r>
        <w:t>i</w:t>
      </w:r>
      <w:r>
        <w:t xml:space="preserve">taires, les lymphocytes TCD4. En effet, le VIH peut s’accrocher à la membrane des LT CD4 grâce à des protéines de surface et déclencher la fusion de la membrane cellulaire et de la </w:t>
      </w:r>
      <w:r w:rsidR="001D51D3">
        <w:t>membrane</w:t>
      </w:r>
      <w:r>
        <w:t xml:space="preserve"> virale.</w:t>
      </w:r>
      <w:r w:rsidR="001D51D3">
        <w:t xml:space="preserve"> Le virus injecte alors son info</w:t>
      </w:r>
      <w:r w:rsidR="001D51D3">
        <w:t>r</w:t>
      </w:r>
      <w:r w:rsidR="001D51D3">
        <w:t>mation génétique et la cellule infectée produit alors de nouvelles particules virales.</w:t>
      </w:r>
    </w:p>
    <w:p w:rsidR="001D51D3" w:rsidRPr="00B639CC" w:rsidRDefault="001D51D3" w:rsidP="00B639CC">
      <w:pPr>
        <w:spacing w:after="0"/>
      </w:pPr>
    </w:p>
    <w:p w:rsidR="00754AD1" w:rsidRDefault="001D51D3" w:rsidP="001D51D3">
      <w:pPr>
        <w:jc w:val="center"/>
      </w:pPr>
      <w:r>
        <w:rPr>
          <w:noProof/>
        </w:rPr>
        <w:drawing>
          <wp:inline distT="0" distB="0" distL="0" distR="0">
            <wp:extent cx="2942985" cy="610287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_gross_colored_fr_sans_libel.png"/>
                    <pic:cNvPicPr/>
                  </pic:nvPicPr>
                  <pic:blipFill>
                    <a:blip r:embed="rId8">
                      <a:extLst>
                        <a:ext uri="{28A0092B-C50C-407E-A947-70E740481C1C}">
                          <a14:useLocalDpi xmlns:a14="http://schemas.microsoft.com/office/drawing/2010/main" val="0"/>
                        </a:ext>
                      </a:extLst>
                    </a:blip>
                    <a:stretch>
                      <a:fillRect/>
                    </a:stretch>
                  </pic:blipFill>
                  <pic:spPr>
                    <a:xfrm>
                      <a:off x="0" y="0"/>
                      <a:ext cx="2945277" cy="6107626"/>
                    </a:xfrm>
                    <a:prstGeom prst="rect">
                      <a:avLst/>
                    </a:prstGeom>
                  </pic:spPr>
                </pic:pic>
              </a:graphicData>
            </a:graphic>
          </wp:inline>
        </w:drawing>
      </w:r>
    </w:p>
    <w:p w:rsidR="00B7763E" w:rsidRPr="00754AD1" w:rsidRDefault="00754AD1" w:rsidP="00754AD1">
      <w:pPr>
        <w:spacing w:after="0"/>
        <w:jc w:val="both"/>
        <w:rPr>
          <w:b/>
          <w:u w:val="single"/>
        </w:rPr>
      </w:pPr>
      <w:r w:rsidRPr="00754AD1">
        <w:rPr>
          <w:b/>
          <w:u w:val="single"/>
        </w:rPr>
        <w:lastRenderedPageBreak/>
        <w:t>Document</w:t>
      </w:r>
      <w:r w:rsidR="00937788">
        <w:rPr>
          <w:b/>
          <w:u w:val="single"/>
        </w:rPr>
        <w:t xml:space="preserve"> </w:t>
      </w:r>
      <w:r w:rsidR="0063273A">
        <w:rPr>
          <w:b/>
          <w:u w:val="single"/>
        </w:rPr>
        <w:t>2</w:t>
      </w:r>
      <w:r w:rsidRPr="00754AD1">
        <w:rPr>
          <w:b/>
          <w:u w:val="single"/>
        </w:rPr>
        <w:t> :</w:t>
      </w:r>
      <w:r w:rsidR="00937788">
        <w:rPr>
          <w:b/>
          <w:u w:val="single"/>
        </w:rPr>
        <w:t xml:space="preserve"> </w:t>
      </w:r>
      <w:r w:rsidR="00300C87">
        <w:rPr>
          <w:b/>
          <w:u w:val="single"/>
        </w:rPr>
        <w:t xml:space="preserve">Les </w:t>
      </w:r>
      <w:r w:rsidR="00B639CC">
        <w:rPr>
          <w:b/>
          <w:u w:val="single"/>
        </w:rPr>
        <w:t>mod</w:t>
      </w:r>
      <w:r w:rsidR="0075798B">
        <w:rPr>
          <w:b/>
          <w:u w:val="single"/>
        </w:rPr>
        <w:t>es</w:t>
      </w:r>
      <w:r w:rsidR="00B639CC">
        <w:rPr>
          <w:b/>
          <w:u w:val="single"/>
        </w:rPr>
        <w:t xml:space="preserve"> de transmission du VIH</w:t>
      </w:r>
      <w:r w:rsidRPr="00754AD1">
        <w:rPr>
          <w:b/>
          <w:u w:val="single"/>
        </w:rPr>
        <w:t>.</w:t>
      </w:r>
    </w:p>
    <w:p w:rsidR="008455BD" w:rsidRDefault="008455BD" w:rsidP="008455BD">
      <w:pPr>
        <w:jc w:val="both"/>
        <w:rPr>
          <w:sz w:val="20"/>
        </w:rPr>
      </w:pPr>
    </w:p>
    <w:tbl>
      <w:tblPr>
        <w:tblStyle w:val="Grilledutableau"/>
        <w:tblW w:w="0" w:type="auto"/>
        <w:tblLook w:val="04A0" w:firstRow="1" w:lastRow="0" w:firstColumn="1" w:lastColumn="0" w:noHBand="0" w:noVBand="1"/>
      </w:tblPr>
      <w:tblGrid>
        <w:gridCol w:w="5303"/>
        <w:gridCol w:w="5303"/>
      </w:tblGrid>
      <w:tr w:rsidR="00054358" w:rsidTr="00054358">
        <w:tc>
          <w:tcPr>
            <w:tcW w:w="5303" w:type="dxa"/>
          </w:tcPr>
          <w:p w:rsidR="00054358" w:rsidRDefault="001D51D3" w:rsidP="008455BD">
            <w:pPr>
              <w:jc w:val="both"/>
              <w:rPr>
                <w:noProof/>
                <w:sz w:val="20"/>
              </w:rPr>
            </w:pPr>
            <w:r>
              <w:rPr>
                <w:noProof/>
                <w:sz w:val="20"/>
              </w:rPr>
              <w:t>Le VIH est un virus très dangereux mais fragile et relativement peu contagieux. Sa transmission nécéssite un contact via des fluides (sang, sperme, sécrétions vaginales, lait). Elle peut se produire :</w:t>
            </w:r>
          </w:p>
          <w:p w:rsidR="001D51D3" w:rsidRPr="00BF6AB3" w:rsidRDefault="001D51D3" w:rsidP="00BF6AB3">
            <w:pPr>
              <w:pStyle w:val="Paragraphedeliste"/>
              <w:numPr>
                <w:ilvl w:val="0"/>
                <w:numId w:val="18"/>
              </w:numPr>
              <w:jc w:val="both"/>
              <w:rPr>
                <w:noProof/>
                <w:sz w:val="20"/>
              </w:rPr>
            </w:pPr>
            <w:r w:rsidRPr="00BF6AB3">
              <w:rPr>
                <w:noProof/>
                <w:sz w:val="20"/>
              </w:rPr>
              <w:t>Lors de rapports sexuels non protégés (80% des cas de contamination)</w:t>
            </w:r>
          </w:p>
          <w:p w:rsidR="001D51D3" w:rsidRPr="00BF6AB3" w:rsidRDefault="001D51D3" w:rsidP="00BF6AB3">
            <w:pPr>
              <w:pStyle w:val="Paragraphedeliste"/>
              <w:numPr>
                <w:ilvl w:val="0"/>
                <w:numId w:val="18"/>
              </w:numPr>
              <w:jc w:val="both"/>
              <w:rPr>
                <w:noProof/>
                <w:sz w:val="20"/>
              </w:rPr>
            </w:pPr>
            <w:r w:rsidRPr="00BF6AB3">
              <w:rPr>
                <w:noProof/>
                <w:sz w:val="20"/>
              </w:rPr>
              <w:t>Par le sang (transfusion ou injection de produits sanguins contaminés, partage de seringues ou d’aiguilles non stérilisées chez les consommateurs de drogues injectables, contamination professionnelle du personnel médical ou paramédical)</w:t>
            </w:r>
          </w:p>
          <w:p w:rsidR="001D51D3" w:rsidRPr="00BF6AB3" w:rsidRDefault="001D51D3" w:rsidP="00BF6AB3">
            <w:pPr>
              <w:pStyle w:val="Paragraphedeliste"/>
              <w:numPr>
                <w:ilvl w:val="0"/>
                <w:numId w:val="18"/>
              </w:numPr>
              <w:jc w:val="both"/>
              <w:rPr>
                <w:sz w:val="20"/>
              </w:rPr>
            </w:pPr>
            <w:r w:rsidRPr="00BF6AB3">
              <w:rPr>
                <w:noProof/>
                <w:sz w:val="20"/>
              </w:rPr>
              <w:t>De la mère à l’enfant au cours de la grossesse, de l’accouchement ou de l’allaitement.</w:t>
            </w:r>
          </w:p>
        </w:tc>
        <w:tc>
          <w:tcPr>
            <w:tcW w:w="5303" w:type="dxa"/>
          </w:tcPr>
          <w:p w:rsidR="009604B5" w:rsidRDefault="001D51D3" w:rsidP="00054358">
            <w:pPr>
              <w:jc w:val="both"/>
              <w:rPr>
                <w:sz w:val="20"/>
              </w:rPr>
            </w:pPr>
            <w:r>
              <w:rPr>
                <w:sz w:val="20"/>
              </w:rPr>
              <w:t>En 2017 :</w:t>
            </w:r>
          </w:p>
          <w:p w:rsidR="00E01FBF" w:rsidRDefault="00E01FBF" w:rsidP="00054358">
            <w:pPr>
              <w:jc w:val="both"/>
              <w:rPr>
                <w:sz w:val="20"/>
              </w:rPr>
            </w:pPr>
          </w:p>
          <w:p w:rsidR="001D51D3" w:rsidRPr="00BF6AB3" w:rsidRDefault="001D51D3" w:rsidP="00BF6AB3">
            <w:pPr>
              <w:pStyle w:val="Paragraphedeliste"/>
              <w:numPr>
                <w:ilvl w:val="0"/>
                <w:numId w:val="19"/>
              </w:numPr>
              <w:jc w:val="both"/>
              <w:rPr>
                <w:sz w:val="20"/>
              </w:rPr>
            </w:pPr>
            <w:r w:rsidRPr="00BF6AB3">
              <w:rPr>
                <w:sz w:val="20"/>
              </w:rPr>
              <w:t>172 700 personnes viv</w:t>
            </w:r>
            <w:r w:rsidR="00E01FBF" w:rsidRPr="00BF6AB3">
              <w:rPr>
                <w:sz w:val="20"/>
              </w:rPr>
              <w:t>ai</w:t>
            </w:r>
            <w:r w:rsidRPr="00BF6AB3">
              <w:rPr>
                <w:sz w:val="20"/>
              </w:rPr>
              <w:t>ent avec le VIH et environ 6 000 nouvelles contamination</w:t>
            </w:r>
            <w:r w:rsidR="00E01FBF" w:rsidRPr="00BF6AB3">
              <w:rPr>
                <w:sz w:val="20"/>
              </w:rPr>
              <w:t>s</w:t>
            </w:r>
            <w:r w:rsidRPr="00BF6AB3">
              <w:rPr>
                <w:sz w:val="20"/>
              </w:rPr>
              <w:t xml:space="preserve"> </w:t>
            </w:r>
            <w:r w:rsidR="00E01FBF" w:rsidRPr="00BF6AB3">
              <w:rPr>
                <w:sz w:val="20"/>
              </w:rPr>
              <w:t>sont intervenues pendant l’année en France.</w:t>
            </w:r>
          </w:p>
          <w:p w:rsidR="00E01FBF" w:rsidRPr="00BF6AB3" w:rsidRDefault="00E01FBF" w:rsidP="00BF6AB3">
            <w:pPr>
              <w:pStyle w:val="Paragraphedeliste"/>
              <w:numPr>
                <w:ilvl w:val="0"/>
                <w:numId w:val="19"/>
              </w:numPr>
              <w:jc w:val="both"/>
              <w:rPr>
                <w:sz w:val="20"/>
              </w:rPr>
            </w:pPr>
            <w:r w:rsidRPr="00BF6AB3">
              <w:rPr>
                <w:sz w:val="20"/>
              </w:rPr>
              <w:t>37 000 000 de personnes vivaient avec le VIH dans le monde.</w:t>
            </w:r>
          </w:p>
          <w:p w:rsidR="00E01FBF" w:rsidRPr="00BF6AB3" w:rsidRDefault="00E01FBF" w:rsidP="00BF6AB3">
            <w:pPr>
              <w:pStyle w:val="Paragraphedeliste"/>
              <w:numPr>
                <w:ilvl w:val="0"/>
                <w:numId w:val="19"/>
              </w:numPr>
              <w:jc w:val="both"/>
              <w:rPr>
                <w:sz w:val="20"/>
              </w:rPr>
            </w:pPr>
            <w:r w:rsidRPr="00BF6AB3">
              <w:rPr>
                <w:sz w:val="20"/>
              </w:rPr>
              <w:t>9 225 000 de personnes ignoraient qu’elles étaient contam</w:t>
            </w:r>
            <w:r w:rsidRPr="00BF6AB3">
              <w:rPr>
                <w:sz w:val="20"/>
              </w:rPr>
              <w:t>i</w:t>
            </w:r>
            <w:r w:rsidRPr="00BF6AB3">
              <w:rPr>
                <w:sz w:val="20"/>
              </w:rPr>
              <w:t>nées.</w:t>
            </w:r>
          </w:p>
          <w:p w:rsidR="00E01FBF" w:rsidRPr="00BF6AB3" w:rsidRDefault="00E01FBF" w:rsidP="00BF6AB3">
            <w:pPr>
              <w:pStyle w:val="Paragraphedeliste"/>
              <w:numPr>
                <w:ilvl w:val="0"/>
                <w:numId w:val="19"/>
              </w:numPr>
              <w:jc w:val="both"/>
              <w:rPr>
                <w:sz w:val="20"/>
              </w:rPr>
            </w:pPr>
            <w:r w:rsidRPr="00BF6AB3">
              <w:rPr>
                <w:sz w:val="20"/>
              </w:rPr>
              <w:t>1 800 000 ont été contaminées pendant l’année</w:t>
            </w:r>
          </w:p>
          <w:p w:rsidR="00E01FBF" w:rsidRPr="00BF6AB3" w:rsidRDefault="00E01FBF" w:rsidP="00BF6AB3">
            <w:pPr>
              <w:pStyle w:val="Paragraphedeliste"/>
              <w:numPr>
                <w:ilvl w:val="0"/>
                <w:numId w:val="19"/>
              </w:numPr>
              <w:jc w:val="both"/>
              <w:rPr>
                <w:sz w:val="20"/>
              </w:rPr>
            </w:pPr>
            <w:r w:rsidRPr="00BF6AB3">
              <w:rPr>
                <w:sz w:val="20"/>
              </w:rPr>
              <w:t>21 700 000 ont eu accès à des traitements.</w:t>
            </w:r>
          </w:p>
        </w:tc>
      </w:tr>
    </w:tbl>
    <w:p w:rsidR="0075798B" w:rsidRPr="008455BD" w:rsidRDefault="0075798B" w:rsidP="008455BD">
      <w:pPr>
        <w:jc w:val="both"/>
        <w:rPr>
          <w:sz w:val="20"/>
        </w:rPr>
      </w:pPr>
    </w:p>
    <w:p w:rsidR="0063273A" w:rsidRDefault="008455BD" w:rsidP="00D40948">
      <w:pPr>
        <w:jc w:val="both"/>
        <w:rPr>
          <w:b/>
          <w:u w:val="single"/>
        </w:rPr>
      </w:pPr>
      <w:r w:rsidRPr="00754AD1">
        <w:rPr>
          <w:b/>
          <w:u w:val="single"/>
        </w:rPr>
        <w:t>Document</w:t>
      </w:r>
      <w:r>
        <w:rPr>
          <w:b/>
          <w:u w:val="single"/>
        </w:rPr>
        <w:t xml:space="preserve"> 3</w:t>
      </w:r>
      <w:r w:rsidRPr="00754AD1">
        <w:rPr>
          <w:b/>
          <w:u w:val="single"/>
        </w:rPr>
        <w:t> :</w:t>
      </w:r>
      <w:r>
        <w:rPr>
          <w:b/>
          <w:u w:val="single"/>
        </w:rPr>
        <w:t xml:space="preserve"> </w:t>
      </w:r>
      <w:r w:rsidR="00B639CC">
        <w:rPr>
          <w:b/>
          <w:u w:val="single"/>
        </w:rPr>
        <w:t>De l’infection par le VIH au SIDA déclaré : une lente évolution</w:t>
      </w:r>
      <w:r w:rsidRPr="00754AD1">
        <w:rPr>
          <w:b/>
          <w:u w:val="single"/>
        </w:rPr>
        <w:t>.</w:t>
      </w:r>
    </w:p>
    <w:tbl>
      <w:tblPr>
        <w:tblStyle w:val="Grilledutableau"/>
        <w:tblW w:w="0" w:type="auto"/>
        <w:tblLook w:val="04A0" w:firstRow="1" w:lastRow="0" w:firstColumn="1" w:lastColumn="0" w:noHBand="0" w:noVBand="1"/>
      </w:tblPr>
      <w:tblGrid>
        <w:gridCol w:w="1935"/>
        <w:gridCol w:w="8747"/>
      </w:tblGrid>
      <w:tr w:rsidR="00054358" w:rsidTr="00054358">
        <w:tc>
          <w:tcPr>
            <w:tcW w:w="5303" w:type="dxa"/>
          </w:tcPr>
          <w:p w:rsidR="00054358" w:rsidRDefault="00E01FBF" w:rsidP="00E01FBF">
            <w:pPr>
              <w:rPr>
                <w:sz w:val="20"/>
              </w:rPr>
            </w:pPr>
            <w:r>
              <w:rPr>
                <w:sz w:val="20"/>
              </w:rPr>
              <w:t>En l’absence de traitement, l’infection par le VIH évolue sur de no</w:t>
            </w:r>
            <w:r>
              <w:rPr>
                <w:sz w:val="20"/>
              </w:rPr>
              <w:t>m</w:t>
            </w:r>
            <w:r>
              <w:rPr>
                <w:sz w:val="20"/>
              </w:rPr>
              <w:t>breuses années et procède en pl</w:t>
            </w:r>
            <w:r>
              <w:rPr>
                <w:sz w:val="20"/>
              </w:rPr>
              <w:t>u</w:t>
            </w:r>
            <w:r>
              <w:rPr>
                <w:sz w:val="20"/>
              </w:rPr>
              <w:t>sieurs phases. Le SIDA est la phase ultime de l’infection au cours de laquelle un e</w:t>
            </w:r>
            <w:r>
              <w:rPr>
                <w:sz w:val="20"/>
              </w:rPr>
              <w:t>n</w:t>
            </w:r>
            <w:r>
              <w:rPr>
                <w:sz w:val="20"/>
              </w:rPr>
              <w:t>semble de maladies dites opportunistes, provoquées par des agents pathogènes ou des cancers, profitent de l’affaiblissement des défenses immun</w:t>
            </w:r>
            <w:r>
              <w:rPr>
                <w:sz w:val="20"/>
              </w:rPr>
              <w:t>i</w:t>
            </w:r>
            <w:r>
              <w:rPr>
                <w:sz w:val="20"/>
              </w:rPr>
              <w:t>taires pour se dév</w:t>
            </w:r>
            <w:r>
              <w:rPr>
                <w:sz w:val="20"/>
              </w:rPr>
              <w:t>e</w:t>
            </w:r>
            <w:r>
              <w:rPr>
                <w:sz w:val="20"/>
              </w:rPr>
              <w:t>lopper. Les trait</w:t>
            </w:r>
            <w:r>
              <w:rPr>
                <w:sz w:val="20"/>
              </w:rPr>
              <w:t>e</w:t>
            </w:r>
            <w:r>
              <w:rPr>
                <w:sz w:val="20"/>
              </w:rPr>
              <w:t>ments exi</w:t>
            </w:r>
            <w:r>
              <w:rPr>
                <w:sz w:val="20"/>
              </w:rPr>
              <w:t>s</w:t>
            </w:r>
            <w:r>
              <w:rPr>
                <w:sz w:val="20"/>
              </w:rPr>
              <w:t>tants permettent de pr</w:t>
            </w:r>
            <w:r>
              <w:rPr>
                <w:sz w:val="20"/>
              </w:rPr>
              <w:t>o</w:t>
            </w:r>
            <w:r>
              <w:rPr>
                <w:sz w:val="20"/>
              </w:rPr>
              <w:t>longer la phase asymptomatique.</w:t>
            </w:r>
          </w:p>
        </w:tc>
        <w:tc>
          <w:tcPr>
            <w:tcW w:w="5303" w:type="dxa"/>
          </w:tcPr>
          <w:p w:rsidR="009604B5" w:rsidRDefault="00E01FBF" w:rsidP="00054358">
            <w:pPr>
              <w:rPr>
                <w:sz w:val="20"/>
              </w:rPr>
            </w:pPr>
            <w:r>
              <w:rPr>
                <w:noProof/>
                <w:sz w:val="20"/>
              </w:rPr>
              <w:drawing>
                <wp:inline distT="0" distB="0" distL="0" distR="0">
                  <wp:extent cx="5417244" cy="35844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995f4c_vih2.png"/>
                          <pic:cNvPicPr/>
                        </pic:nvPicPr>
                        <pic:blipFill>
                          <a:blip r:embed="rId9">
                            <a:extLst>
                              <a:ext uri="{28A0092B-C50C-407E-A947-70E740481C1C}">
                                <a14:useLocalDpi xmlns:a14="http://schemas.microsoft.com/office/drawing/2010/main" val="0"/>
                              </a:ext>
                            </a:extLst>
                          </a:blip>
                          <a:stretch>
                            <a:fillRect/>
                          </a:stretch>
                        </pic:blipFill>
                        <pic:spPr>
                          <a:xfrm>
                            <a:off x="0" y="0"/>
                            <a:ext cx="5416609" cy="3583988"/>
                          </a:xfrm>
                          <a:prstGeom prst="rect">
                            <a:avLst/>
                          </a:prstGeom>
                        </pic:spPr>
                      </pic:pic>
                    </a:graphicData>
                  </a:graphic>
                </wp:inline>
              </w:drawing>
            </w:r>
          </w:p>
        </w:tc>
      </w:tr>
    </w:tbl>
    <w:p w:rsidR="004E3B94" w:rsidRDefault="004E3B94" w:rsidP="0075798B">
      <w:pPr>
        <w:rPr>
          <w:sz w:val="20"/>
        </w:rPr>
      </w:pPr>
    </w:p>
    <w:p w:rsidR="00DB707A" w:rsidRDefault="00BF6AB3" w:rsidP="00DB707A">
      <w:pPr>
        <w:rPr>
          <w:sz w:val="20"/>
        </w:rPr>
      </w:pPr>
      <w:r>
        <w:rPr>
          <w:sz w:val="20"/>
        </w:rPr>
        <w:t>Primo-infection : contamination initiale, pas de symptômes ou peu de symptômes : fièvre, courbatures, gonflement des ga</w:t>
      </w:r>
      <w:r>
        <w:rPr>
          <w:sz w:val="20"/>
        </w:rPr>
        <w:t>n</w:t>
      </w:r>
      <w:r>
        <w:rPr>
          <w:sz w:val="20"/>
        </w:rPr>
        <w:t>glions.</w:t>
      </w:r>
    </w:p>
    <w:p w:rsidR="00BF6AB3" w:rsidRDefault="00BF6AB3" w:rsidP="00DB707A">
      <w:pPr>
        <w:rPr>
          <w:sz w:val="20"/>
        </w:rPr>
      </w:pPr>
      <w:r>
        <w:rPr>
          <w:sz w:val="20"/>
        </w:rPr>
        <w:t>Phase asymptomatique : aucun symptôme</w:t>
      </w:r>
    </w:p>
    <w:p w:rsidR="00BF6AB3" w:rsidRDefault="00BF6AB3" w:rsidP="00DB707A">
      <w:pPr>
        <w:rPr>
          <w:sz w:val="20"/>
        </w:rPr>
      </w:pPr>
      <w:r>
        <w:rPr>
          <w:sz w:val="20"/>
        </w:rPr>
        <w:t>Sida déclaré : troubles mineurs (infections virales type zona ou herpès, fièvre persistante, fatigue, perte de poids, diarrhées) puis troubles majeurs (infections opportunistes comme la tuberculose ou les pneumonies, cancers de la peau ou  du sang, amaigri</w:t>
      </w:r>
      <w:r>
        <w:rPr>
          <w:sz w:val="20"/>
        </w:rPr>
        <w:t>s</w:t>
      </w:r>
      <w:r>
        <w:rPr>
          <w:sz w:val="20"/>
        </w:rPr>
        <w:t>sement, attaque des centres nerveux)</w:t>
      </w:r>
    </w:p>
    <w:p w:rsidR="00BF6AB3" w:rsidRDefault="00BF6AB3" w:rsidP="00DB707A">
      <w:pPr>
        <w:rPr>
          <w:sz w:val="20"/>
        </w:rPr>
      </w:pPr>
      <w:proofErr w:type="spellStart"/>
      <w:r>
        <w:rPr>
          <w:sz w:val="20"/>
        </w:rPr>
        <w:t>LTc</w:t>
      </w:r>
      <w:proofErr w:type="spellEnd"/>
      <w:r>
        <w:rPr>
          <w:sz w:val="20"/>
        </w:rPr>
        <w:t> : Lymphocytes cytotoxiques qui détruisent les cellules infectées sur ordre des LT CD4</w:t>
      </w:r>
    </w:p>
    <w:p w:rsidR="00BF6AB3" w:rsidRDefault="00BF6AB3" w:rsidP="00DB707A">
      <w:pPr>
        <w:rPr>
          <w:b/>
          <w:u w:val="single"/>
        </w:rPr>
      </w:pPr>
    </w:p>
    <w:p w:rsidR="00937788" w:rsidRDefault="00937788" w:rsidP="00DB707A">
      <w:pPr>
        <w:rPr>
          <w:b/>
          <w:u w:val="single"/>
        </w:rPr>
      </w:pPr>
      <w:r w:rsidRPr="00754AD1">
        <w:rPr>
          <w:b/>
          <w:u w:val="single"/>
        </w:rPr>
        <w:t>Document</w:t>
      </w:r>
      <w:r>
        <w:rPr>
          <w:b/>
          <w:u w:val="single"/>
        </w:rPr>
        <w:t xml:space="preserve"> </w:t>
      </w:r>
      <w:r w:rsidR="008455BD">
        <w:rPr>
          <w:b/>
          <w:u w:val="single"/>
        </w:rPr>
        <w:t>4</w:t>
      </w:r>
      <w:r w:rsidRPr="00754AD1">
        <w:rPr>
          <w:b/>
          <w:u w:val="single"/>
        </w:rPr>
        <w:t xml:space="preserve"> : </w:t>
      </w:r>
      <w:r w:rsidR="00B639CC">
        <w:rPr>
          <w:b/>
          <w:u w:val="single"/>
        </w:rPr>
        <w:t>Prévention, dépistage et traitement</w:t>
      </w:r>
      <w:r w:rsidRPr="00754AD1">
        <w:rPr>
          <w:b/>
          <w:u w:val="single"/>
        </w:rPr>
        <w:t>.</w:t>
      </w:r>
    </w:p>
    <w:p w:rsidR="00DB707A" w:rsidRDefault="00B639CC" w:rsidP="00DB707A">
      <w:r>
        <w:lastRenderedPageBreak/>
        <w:t>Face au VIH, la meilleure stratégie reste la prévention. Le préservatif protège en effet de la transmission sexuelle, et la transmission au cours de la grossesse ou de la naissance est désormais évitable.</w:t>
      </w:r>
    </w:p>
    <w:p w:rsidR="00B639CC" w:rsidRDefault="00B639CC" w:rsidP="00DB707A">
      <w:r>
        <w:t>En France, le diagnostic de l’infection par le VIH repose sur la détection dans le sang d’anticorps dirigés spécifiqu</w:t>
      </w:r>
      <w:r>
        <w:t>e</w:t>
      </w:r>
      <w:r>
        <w:t>ment contre ce virus grâce à :</w:t>
      </w:r>
    </w:p>
    <w:p w:rsidR="00B639CC" w:rsidRDefault="00B639CC" w:rsidP="00BF6AB3">
      <w:pPr>
        <w:pStyle w:val="Paragraphedeliste"/>
        <w:numPr>
          <w:ilvl w:val="0"/>
          <w:numId w:val="17"/>
        </w:numPr>
      </w:pPr>
      <w:r>
        <w:t>Un test réalisé en laboratoire d’analyse médicale à partir d’une prise de sang ;</w:t>
      </w:r>
    </w:p>
    <w:p w:rsidR="00B639CC" w:rsidRDefault="00B639CC" w:rsidP="00BF6AB3">
      <w:pPr>
        <w:pStyle w:val="Paragraphedeliste"/>
        <w:numPr>
          <w:ilvl w:val="0"/>
          <w:numId w:val="17"/>
        </w:numPr>
      </w:pPr>
      <w:r>
        <w:t>Un test rapide d’orientation diagnostique (TROD) auprès d’associations ou dans des centres de dépistage (anonyme et gr</w:t>
      </w:r>
      <w:r>
        <w:t>a</w:t>
      </w:r>
      <w:r>
        <w:t>tuit ;</w:t>
      </w:r>
    </w:p>
    <w:p w:rsidR="00B639CC" w:rsidRDefault="00B639CC" w:rsidP="00BF6AB3">
      <w:pPr>
        <w:pStyle w:val="Paragraphedeliste"/>
        <w:numPr>
          <w:ilvl w:val="0"/>
          <w:numId w:val="17"/>
        </w:numPr>
      </w:pPr>
      <w:r>
        <w:t>Un autotest (disponible depuis septembre 2015) pour les personnes désireuses de se tester à leur domicile.</w:t>
      </w:r>
    </w:p>
    <w:p w:rsidR="00B639CC" w:rsidRDefault="00B639CC" w:rsidP="00DB707A">
      <w:r>
        <w:t>En cas de résultat positif à l’autotest et au TROD, une confirmation est nécessaire par un test en laboratoire, plus précis.</w:t>
      </w:r>
    </w:p>
    <w:p w:rsidR="00B639CC" w:rsidRDefault="00B639CC" w:rsidP="00DB707A">
      <w:r>
        <w:t>Les traitements disponibles, dans l’attente d’un vaccin (toujours à l’étude), consistent à associer plusieurs médic</w:t>
      </w:r>
      <w:r>
        <w:t>a</w:t>
      </w:r>
      <w:r>
        <w:t>ments qui empêchent la multiplication du virus dans l’organisme et permettent au système immunitaire de se re</w:t>
      </w:r>
      <w:r>
        <w:t>n</w:t>
      </w:r>
      <w:r>
        <w:t>forcer.</w:t>
      </w:r>
    </w:p>
    <w:p w:rsidR="00BF6AB3" w:rsidRDefault="00BF6AB3" w:rsidP="00DB707A">
      <w:r>
        <w:t>A partir de ces documents, expliquez comment le VIH peut être à l’origine de l’épidémie de SIDA</w:t>
      </w:r>
    </w:p>
    <w:p w:rsidR="00BF6AB3" w:rsidRDefault="00BF6AB3" w:rsidP="00DB707A">
      <w:r>
        <w:t>Guide :</w:t>
      </w:r>
    </w:p>
    <w:p w:rsidR="00BF6AB3" w:rsidRDefault="00BF6AB3" w:rsidP="00DB707A">
      <w:r>
        <w:t>Expliquez comment le VIH diminue les défenses de l’organisme et entraîne l’apparition du SIDA</w:t>
      </w:r>
    </w:p>
    <w:p w:rsidR="00BF6AB3" w:rsidRPr="00DB707A" w:rsidRDefault="009366DF" w:rsidP="00DB707A">
      <w:r>
        <w:t>Indiquez quels sont les moyens de prévention permettant d’empêcher la transmission de ce virus et pourquoi prévention et dépistage sont si importants dans le cas du VIH.</w:t>
      </w:r>
    </w:p>
    <w:sectPr w:rsidR="00BF6AB3" w:rsidRPr="00DB707A" w:rsidSect="00281568">
      <w:pgSz w:w="11906" w:h="16838"/>
      <w:pgMar w:top="418" w:right="720" w:bottom="720" w:left="720" w:header="426"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B5" w:rsidRDefault="00DF30B5" w:rsidP="00281568">
      <w:pPr>
        <w:spacing w:after="0" w:line="240" w:lineRule="auto"/>
      </w:pPr>
      <w:r>
        <w:separator/>
      </w:r>
    </w:p>
  </w:endnote>
  <w:endnote w:type="continuationSeparator" w:id="0">
    <w:p w:rsidR="00DF30B5" w:rsidRDefault="00DF30B5" w:rsidP="0028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B5" w:rsidRDefault="00DF30B5" w:rsidP="00281568">
      <w:pPr>
        <w:spacing w:after="0" w:line="240" w:lineRule="auto"/>
      </w:pPr>
      <w:r>
        <w:separator/>
      </w:r>
    </w:p>
  </w:footnote>
  <w:footnote w:type="continuationSeparator" w:id="0">
    <w:p w:rsidR="00DF30B5" w:rsidRDefault="00DF30B5" w:rsidP="00281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B12"/>
    <w:multiLevelType w:val="hybridMultilevel"/>
    <w:tmpl w:val="340AF1CA"/>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714DDF"/>
    <w:multiLevelType w:val="hybridMultilevel"/>
    <w:tmpl w:val="8DA43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E2E90"/>
    <w:multiLevelType w:val="hybridMultilevel"/>
    <w:tmpl w:val="025CC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A1AE2"/>
    <w:multiLevelType w:val="hybridMultilevel"/>
    <w:tmpl w:val="BA3C25A2"/>
    <w:lvl w:ilvl="0" w:tplc="369C78B8">
      <w:start w:val="1"/>
      <w:numFmt w:val="bullet"/>
      <w:lvlText w:val=""/>
      <w:lvlJc w:val="left"/>
      <w:pPr>
        <w:ind w:left="360" w:hanging="360"/>
      </w:pPr>
      <w:rPr>
        <w:rFonts w:ascii="Symbol" w:eastAsiaTheme="minorEastAsia"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3EB21A1"/>
    <w:multiLevelType w:val="hybridMultilevel"/>
    <w:tmpl w:val="945E6796"/>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026485"/>
    <w:multiLevelType w:val="hybridMultilevel"/>
    <w:tmpl w:val="EEB2BCB0"/>
    <w:lvl w:ilvl="0" w:tplc="3C88A7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834348"/>
    <w:multiLevelType w:val="hybridMultilevel"/>
    <w:tmpl w:val="6388F830"/>
    <w:lvl w:ilvl="0" w:tplc="101074A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7716CD"/>
    <w:multiLevelType w:val="hybridMultilevel"/>
    <w:tmpl w:val="264ED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EA6C51"/>
    <w:multiLevelType w:val="hybridMultilevel"/>
    <w:tmpl w:val="CE3A4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9E126B"/>
    <w:multiLevelType w:val="hybridMultilevel"/>
    <w:tmpl w:val="C77EE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DB5E45"/>
    <w:multiLevelType w:val="hybridMultilevel"/>
    <w:tmpl w:val="2256BD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8F39F8"/>
    <w:multiLevelType w:val="hybridMultilevel"/>
    <w:tmpl w:val="53F09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B5067B"/>
    <w:multiLevelType w:val="hybridMultilevel"/>
    <w:tmpl w:val="EEB2BCB0"/>
    <w:lvl w:ilvl="0" w:tplc="3C88A7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622CC4"/>
    <w:multiLevelType w:val="hybridMultilevel"/>
    <w:tmpl w:val="C7688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2F517B0"/>
    <w:multiLevelType w:val="multilevel"/>
    <w:tmpl w:val="C28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C043F"/>
    <w:multiLevelType w:val="hybridMultilevel"/>
    <w:tmpl w:val="28C20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0935AA"/>
    <w:multiLevelType w:val="hybridMultilevel"/>
    <w:tmpl w:val="ED1CC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6F7268"/>
    <w:multiLevelType w:val="hybridMultilevel"/>
    <w:tmpl w:val="7F8C8E0E"/>
    <w:lvl w:ilvl="0" w:tplc="3A1A6CF2">
      <w:start w:val="1"/>
      <w:numFmt w:val="upperRoman"/>
      <w:lvlText w:val="%1."/>
      <w:lvlJc w:val="left"/>
      <w:pPr>
        <w:ind w:left="1080" w:hanging="720"/>
      </w:pPr>
      <w:rPr>
        <w:rFonts w:hint="default"/>
        <w:strik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FDC00F6"/>
    <w:multiLevelType w:val="hybridMultilevel"/>
    <w:tmpl w:val="538C9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7"/>
  </w:num>
  <w:num w:numId="5">
    <w:abstractNumId w:val="14"/>
  </w:num>
  <w:num w:numId="6">
    <w:abstractNumId w:val="12"/>
  </w:num>
  <w:num w:numId="7">
    <w:abstractNumId w:val="13"/>
  </w:num>
  <w:num w:numId="8">
    <w:abstractNumId w:val="10"/>
  </w:num>
  <w:num w:numId="9">
    <w:abstractNumId w:val="18"/>
  </w:num>
  <w:num w:numId="10">
    <w:abstractNumId w:val="4"/>
  </w:num>
  <w:num w:numId="11">
    <w:abstractNumId w:val="0"/>
  </w:num>
  <w:num w:numId="12">
    <w:abstractNumId w:val="2"/>
  </w:num>
  <w:num w:numId="13">
    <w:abstractNumId w:val="11"/>
  </w:num>
  <w:num w:numId="14">
    <w:abstractNumId w:val="15"/>
  </w:num>
  <w:num w:numId="15">
    <w:abstractNumId w:val="8"/>
  </w:num>
  <w:num w:numId="16">
    <w:abstractNumId w:val="16"/>
  </w:num>
  <w:num w:numId="17">
    <w:abstractNumId w:val="7"/>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B7"/>
    <w:rsid w:val="0000228A"/>
    <w:rsid w:val="00054358"/>
    <w:rsid w:val="000579E8"/>
    <w:rsid w:val="00091D79"/>
    <w:rsid w:val="000A2D08"/>
    <w:rsid w:val="000B70A9"/>
    <w:rsid w:val="000D7996"/>
    <w:rsid w:val="00114888"/>
    <w:rsid w:val="00114DB9"/>
    <w:rsid w:val="00156AE1"/>
    <w:rsid w:val="001D51D3"/>
    <w:rsid w:val="00204B9D"/>
    <w:rsid w:val="00252817"/>
    <w:rsid w:val="00266C8D"/>
    <w:rsid w:val="00281568"/>
    <w:rsid w:val="002A54D4"/>
    <w:rsid w:val="002A55B7"/>
    <w:rsid w:val="002D2063"/>
    <w:rsid w:val="002F2728"/>
    <w:rsid w:val="002F6418"/>
    <w:rsid w:val="00300C87"/>
    <w:rsid w:val="00333A22"/>
    <w:rsid w:val="00361C8E"/>
    <w:rsid w:val="00373C07"/>
    <w:rsid w:val="00380301"/>
    <w:rsid w:val="003D29D6"/>
    <w:rsid w:val="003E158F"/>
    <w:rsid w:val="00400CEC"/>
    <w:rsid w:val="00481770"/>
    <w:rsid w:val="004871D1"/>
    <w:rsid w:val="004D1D27"/>
    <w:rsid w:val="004D26E0"/>
    <w:rsid w:val="004D4BDC"/>
    <w:rsid w:val="004D731B"/>
    <w:rsid w:val="004E1135"/>
    <w:rsid w:val="004E3B94"/>
    <w:rsid w:val="00544F50"/>
    <w:rsid w:val="0054524B"/>
    <w:rsid w:val="005714A5"/>
    <w:rsid w:val="00595C93"/>
    <w:rsid w:val="005C6E27"/>
    <w:rsid w:val="005D19FE"/>
    <w:rsid w:val="006065B5"/>
    <w:rsid w:val="006079AB"/>
    <w:rsid w:val="00611C65"/>
    <w:rsid w:val="0063273A"/>
    <w:rsid w:val="00637F82"/>
    <w:rsid w:val="006437E5"/>
    <w:rsid w:val="006510B4"/>
    <w:rsid w:val="00655CC2"/>
    <w:rsid w:val="00672C11"/>
    <w:rsid w:val="006A0041"/>
    <w:rsid w:val="006A5344"/>
    <w:rsid w:val="006C147E"/>
    <w:rsid w:val="006D5671"/>
    <w:rsid w:val="006E3C21"/>
    <w:rsid w:val="006F5F2D"/>
    <w:rsid w:val="007165AB"/>
    <w:rsid w:val="00744EAE"/>
    <w:rsid w:val="00754AD1"/>
    <w:rsid w:val="0075798B"/>
    <w:rsid w:val="007F5BF5"/>
    <w:rsid w:val="007F6235"/>
    <w:rsid w:val="00802E43"/>
    <w:rsid w:val="008175E5"/>
    <w:rsid w:val="00822AE6"/>
    <w:rsid w:val="008455BD"/>
    <w:rsid w:val="008B6CF2"/>
    <w:rsid w:val="008D6BEC"/>
    <w:rsid w:val="00907148"/>
    <w:rsid w:val="009110CE"/>
    <w:rsid w:val="009166A1"/>
    <w:rsid w:val="00927188"/>
    <w:rsid w:val="009366DF"/>
    <w:rsid w:val="00937788"/>
    <w:rsid w:val="00940FDF"/>
    <w:rsid w:val="009446F2"/>
    <w:rsid w:val="00954505"/>
    <w:rsid w:val="009604B5"/>
    <w:rsid w:val="00984F4B"/>
    <w:rsid w:val="0099134C"/>
    <w:rsid w:val="00997C50"/>
    <w:rsid w:val="009C6C4A"/>
    <w:rsid w:val="009D7ED6"/>
    <w:rsid w:val="009F2966"/>
    <w:rsid w:val="00A24A8A"/>
    <w:rsid w:val="00A262CA"/>
    <w:rsid w:val="00A70298"/>
    <w:rsid w:val="00A82878"/>
    <w:rsid w:val="00A93A5E"/>
    <w:rsid w:val="00AD0020"/>
    <w:rsid w:val="00AE5C44"/>
    <w:rsid w:val="00B17A69"/>
    <w:rsid w:val="00B27923"/>
    <w:rsid w:val="00B639CC"/>
    <w:rsid w:val="00B7763E"/>
    <w:rsid w:val="00B943B2"/>
    <w:rsid w:val="00BF2C4A"/>
    <w:rsid w:val="00BF6AB3"/>
    <w:rsid w:val="00C35846"/>
    <w:rsid w:val="00C45BDC"/>
    <w:rsid w:val="00C525E9"/>
    <w:rsid w:val="00C74BB7"/>
    <w:rsid w:val="00C77C3D"/>
    <w:rsid w:val="00C801ED"/>
    <w:rsid w:val="00CC690E"/>
    <w:rsid w:val="00D075F6"/>
    <w:rsid w:val="00D263B2"/>
    <w:rsid w:val="00D40948"/>
    <w:rsid w:val="00D85A11"/>
    <w:rsid w:val="00DA72E8"/>
    <w:rsid w:val="00DB707A"/>
    <w:rsid w:val="00DF30B5"/>
    <w:rsid w:val="00DF7DCC"/>
    <w:rsid w:val="00E01FBF"/>
    <w:rsid w:val="00E15267"/>
    <w:rsid w:val="00E32F98"/>
    <w:rsid w:val="00E330C4"/>
    <w:rsid w:val="00E421AD"/>
    <w:rsid w:val="00E75E89"/>
    <w:rsid w:val="00EC7624"/>
    <w:rsid w:val="00F14B95"/>
    <w:rsid w:val="00F45E5C"/>
    <w:rsid w:val="00F61E7D"/>
    <w:rsid w:val="00F85352"/>
    <w:rsid w:val="00FA585A"/>
    <w:rsid w:val="00FB1FF3"/>
    <w:rsid w:val="00FC3BB5"/>
    <w:rsid w:val="00FE7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4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04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9D"/>
    <w:rPr>
      <w:rFonts w:ascii="Tahoma" w:hAnsi="Tahoma" w:cs="Tahoma"/>
      <w:sz w:val="16"/>
      <w:szCs w:val="16"/>
    </w:rPr>
  </w:style>
  <w:style w:type="paragraph" w:styleId="En-tte">
    <w:name w:val="header"/>
    <w:basedOn w:val="Normal"/>
    <w:link w:val="En-tteCar"/>
    <w:uiPriority w:val="99"/>
    <w:unhideWhenUsed/>
    <w:rsid w:val="00281568"/>
    <w:pPr>
      <w:tabs>
        <w:tab w:val="center" w:pos="4536"/>
        <w:tab w:val="right" w:pos="9072"/>
      </w:tabs>
      <w:spacing w:after="0" w:line="240" w:lineRule="auto"/>
    </w:pPr>
  </w:style>
  <w:style w:type="character" w:customStyle="1" w:styleId="En-tteCar">
    <w:name w:val="En-tête Car"/>
    <w:basedOn w:val="Policepardfaut"/>
    <w:link w:val="En-tte"/>
    <w:uiPriority w:val="99"/>
    <w:rsid w:val="00281568"/>
  </w:style>
  <w:style w:type="paragraph" w:styleId="Pieddepage">
    <w:name w:val="footer"/>
    <w:basedOn w:val="Normal"/>
    <w:link w:val="PieddepageCar"/>
    <w:uiPriority w:val="99"/>
    <w:unhideWhenUsed/>
    <w:rsid w:val="00281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568"/>
  </w:style>
  <w:style w:type="paragraph" w:styleId="Sansinterligne">
    <w:name w:val="No Spacing"/>
    <w:link w:val="SansinterligneCar"/>
    <w:uiPriority w:val="1"/>
    <w:qFormat/>
    <w:rsid w:val="00281568"/>
    <w:pPr>
      <w:spacing w:after="0" w:line="240" w:lineRule="auto"/>
    </w:pPr>
  </w:style>
  <w:style w:type="character" w:customStyle="1" w:styleId="SansinterligneCar">
    <w:name w:val="Sans interligne Car"/>
    <w:basedOn w:val="Policepardfaut"/>
    <w:link w:val="Sansinterligne"/>
    <w:uiPriority w:val="1"/>
    <w:rsid w:val="00281568"/>
    <w:rPr>
      <w:rFonts w:eastAsiaTheme="minorEastAsia"/>
    </w:rPr>
  </w:style>
  <w:style w:type="paragraph" w:styleId="Paragraphedeliste">
    <w:name w:val="List Paragraph"/>
    <w:basedOn w:val="Normal"/>
    <w:uiPriority w:val="34"/>
    <w:qFormat/>
    <w:rsid w:val="00754AD1"/>
    <w:pPr>
      <w:ind w:left="720"/>
      <w:contextualSpacing/>
    </w:pPr>
  </w:style>
  <w:style w:type="character" w:styleId="Lienhypertexte">
    <w:name w:val="Hyperlink"/>
    <w:basedOn w:val="Policepardfaut"/>
    <w:uiPriority w:val="99"/>
    <w:semiHidden/>
    <w:unhideWhenUsed/>
    <w:rsid w:val="00C77C3D"/>
    <w:rPr>
      <w:color w:val="0000FF"/>
      <w:u w:val="single"/>
    </w:rPr>
  </w:style>
  <w:style w:type="paragraph" w:styleId="NormalWeb">
    <w:name w:val="Normal (Web)"/>
    <w:basedOn w:val="Normal"/>
    <w:uiPriority w:val="99"/>
    <w:semiHidden/>
    <w:unhideWhenUsed/>
    <w:rsid w:val="00C77C3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C7624"/>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4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04B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4B9D"/>
    <w:rPr>
      <w:rFonts w:ascii="Tahoma" w:hAnsi="Tahoma" w:cs="Tahoma"/>
      <w:sz w:val="16"/>
      <w:szCs w:val="16"/>
    </w:rPr>
  </w:style>
  <w:style w:type="paragraph" w:styleId="En-tte">
    <w:name w:val="header"/>
    <w:basedOn w:val="Normal"/>
    <w:link w:val="En-tteCar"/>
    <w:uiPriority w:val="99"/>
    <w:unhideWhenUsed/>
    <w:rsid w:val="00281568"/>
    <w:pPr>
      <w:tabs>
        <w:tab w:val="center" w:pos="4536"/>
        <w:tab w:val="right" w:pos="9072"/>
      </w:tabs>
      <w:spacing w:after="0" w:line="240" w:lineRule="auto"/>
    </w:pPr>
  </w:style>
  <w:style w:type="character" w:customStyle="1" w:styleId="En-tteCar">
    <w:name w:val="En-tête Car"/>
    <w:basedOn w:val="Policepardfaut"/>
    <w:link w:val="En-tte"/>
    <w:uiPriority w:val="99"/>
    <w:rsid w:val="00281568"/>
  </w:style>
  <w:style w:type="paragraph" w:styleId="Pieddepage">
    <w:name w:val="footer"/>
    <w:basedOn w:val="Normal"/>
    <w:link w:val="PieddepageCar"/>
    <w:uiPriority w:val="99"/>
    <w:unhideWhenUsed/>
    <w:rsid w:val="00281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568"/>
  </w:style>
  <w:style w:type="paragraph" w:styleId="Sansinterligne">
    <w:name w:val="No Spacing"/>
    <w:link w:val="SansinterligneCar"/>
    <w:uiPriority w:val="1"/>
    <w:qFormat/>
    <w:rsid w:val="00281568"/>
    <w:pPr>
      <w:spacing w:after="0" w:line="240" w:lineRule="auto"/>
    </w:pPr>
  </w:style>
  <w:style w:type="character" w:customStyle="1" w:styleId="SansinterligneCar">
    <w:name w:val="Sans interligne Car"/>
    <w:basedOn w:val="Policepardfaut"/>
    <w:link w:val="Sansinterligne"/>
    <w:uiPriority w:val="1"/>
    <w:rsid w:val="00281568"/>
    <w:rPr>
      <w:rFonts w:eastAsiaTheme="minorEastAsia"/>
    </w:rPr>
  </w:style>
  <w:style w:type="paragraph" w:styleId="Paragraphedeliste">
    <w:name w:val="List Paragraph"/>
    <w:basedOn w:val="Normal"/>
    <w:uiPriority w:val="34"/>
    <w:qFormat/>
    <w:rsid w:val="00754AD1"/>
    <w:pPr>
      <w:ind w:left="720"/>
      <w:contextualSpacing/>
    </w:pPr>
  </w:style>
  <w:style w:type="character" w:styleId="Lienhypertexte">
    <w:name w:val="Hyperlink"/>
    <w:basedOn w:val="Policepardfaut"/>
    <w:uiPriority w:val="99"/>
    <w:semiHidden/>
    <w:unhideWhenUsed/>
    <w:rsid w:val="00C77C3D"/>
    <w:rPr>
      <w:color w:val="0000FF"/>
      <w:u w:val="single"/>
    </w:rPr>
  </w:style>
  <w:style w:type="paragraph" w:styleId="NormalWeb">
    <w:name w:val="Normal (Web)"/>
    <w:basedOn w:val="Normal"/>
    <w:uiPriority w:val="99"/>
    <w:semiHidden/>
    <w:unhideWhenUsed/>
    <w:rsid w:val="00C77C3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C762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6286">
      <w:bodyDiv w:val="1"/>
      <w:marLeft w:val="0"/>
      <w:marRight w:val="0"/>
      <w:marTop w:val="0"/>
      <w:marBottom w:val="0"/>
      <w:divBdr>
        <w:top w:val="none" w:sz="0" w:space="0" w:color="auto"/>
        <w:left w:val="none" w:sz="0" w:space="0" w:color="auto"/>
        <w:bottom w:val="none" w:sz="0" w:space="0" w:color="auto"/>
        <w:right w:val="none" w:sz="0" w:space="0" w:color="auto"/>
      </w:divBdr>
      <w:divsChild>
        <w:div w:id="1558009625">
          <w:marLeft w:val="0"/>
          <w:marRight w:val="0"/>
          <w:marTop w:val="0"/>
          <w:marBottom w:val="0"/>
          <w:divBdr>
            <w:top w:val="none" w:sz="0" w:space="0" w:color="auto"/>
            <w:left w:val="none" w:sz="0" w:space="0" w:color="auto"/>
            <w:bottom w:val="none" w:sz="0" w:space="0" w:color="auto"/>
            <w:right w:val="none" w:sz="0" w:space="0" w:color="auto"/>
          </w:divBdr>
          <w:divsChild>
            <w:div w:id="891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687">
      <w:bodyDiv w:val="1"/>
      <w:marLeft w:val="0"/>
      <w:marRight w:val="0"/>
      <w:marTop w:val="0"/>
      <w:marBottom w:val="0"/>
      <w:divBdr>
        <w:top w:val="none" w:sz="0" w:space="0" w:color="auto"/>
        <w:left w:val="none" w:sz="0" w:space="0" w:color="auto"/>
        <w:bottom w:val="none" w:sz="0" w:space="0" w:color="auto"/>
        <w:right w:val="none" w:sz="0" w:space="0" w:color="auto"/>
      </w:divBdr>
      <w:divsChild>
        <w:div w:id="2052612220">
          <w:marLeft w:val="0"/>
          <w:marRight w:val="0"/>
          <w:marTop w:val="0"/>
          <w:marBottom w:val="0"/>
          <w:divBdr>
            <w:top w:val="none" w:sz="0" w:space="0" w:color="auto"/>
            <w:left w:val="none" w:sz="0" w:space="0" w:color="auto"/>
            <w:bottom w:val="none" w:sz="0" w:space="0" w:color="auto"/>
            <w:right w:val="none" w:sz="0" w:space="0" w:color="auto"/>
          </w:divBdr>
          <w:divsChild>
            <w:div w:id="17083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3566">
      <w:bodyDiv w:val="1"/>
      <w:marLeft w:val="0"/>
      <w:marRight w:val="0"/>
      <w:marTop w:val="0"/>
      <w:marBottom w:val="0"/>
      <w:divBdr>
        <w:top w:val="none" w:sz="0" w:space="0" w:color="auto"/>
        <w:left w:val="none" w:sz="0" w:space="0" w:color="auto"/>
        <w:bottom w:val="none" w:sz="0" w:space="0" w:color="auto"/>
        <w:right w:val="none" w:sz="0" w:space="0" w:color="auto"/>
      </w:divBdr>
      <w:divsChild>
        <w:div w:id="328605723">
          <w:marLeft w:val="0"/>
          <w:marRight w:val="0"/>
          <w:marTop w:val="0"/>
          <w:marBottom w:val="0"/>
          <w:divBdr>
            <w:top w:val="none" w:sz="0" w:space="0" w:color="auto"/>
            <w:left w:val="none" w:sz="0" w:space="0" w:color="auto"/>
            <w:bottom w:val="none" w:sz="0" w:space="0" w:color="auto"/>
            <w:right w:val="none" w:sz="0" w:space="0" w:color="auto"/>
          </w:divBdr>
          <w:divsChild>
            <w:div w:id="16700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1303">
      <w:bodyDiv w:val="1"/>
      <w:marLeft w:val="0"/>
      <w:marRight w:val="0"/>
      <w:marTop w:val="0"/>
      <w:marBottom w:val="0"/>
      <w:divBdr>
        <w:top w:val="none" w:sz="0" w:space="0" w:color="auto"/>
        <w:left w:val="none" w:sz="0" w:space="0" w:color="auto"/>
        <w:bottom w:val="none" w:sz="0" w:space="0" w:color="auto"/>
        <w:right w:val="none" w:sz="0" w:space="0" w:color="auto"/>
      </w:divBdr>
      <w:divsChild>
        <w:div w:id="54744173">
          <w:marLeft w:val="0"/>
          <w:marRight w:val="0"/>
          <w:marTop w:val="0"/>
          <w:marBottom w:val="0"/>
          <w:divBdr>
            <w:top w:val="none" w:sz="0" w:space="0" w:color="auto"/>
            <w:left w:val="none" w:sz="0" w:space="0" w:color="auto"/>
            <w:bottom w:val="none" w:sz="0" w:space="0" w:color="auto"/>
            <w:right w:val="none" w:sz="0" w:space="0" w:color="auto"/>
          </w:divBdr>
          <w:divsChild>
            <w:div w:id="8185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541">
      <w:bodyDiv w:val="1"/>
      <w:marLeft w:val="0"/>
      <w:marRight w:val="0"/>
      <w:marTop w:val="0"/>
      <w:marBottom w:val="0"/>
      <w:divBdr>
        <w:top w:val="none" w:sz="0" w:space="0" w:color="auto"/>
        <w:left w:val="none" w:sz="0" w:space="0" w:color="auto"/>
        <w:bottom w:val="none" w:sz="0" w:space="0" w:color="auto"/>
        <w:right w:val="none" w:sz="0" w:space="0" w:color="auto"/>
      </w:divBdr>
      <w:divsChild>
        <w:div w:id="1076323572">
          <w:marLeft w:val="0"/>
          <w:marRight w:val="0"/>
          <w:marTop w:val="0"/>
          <w:marBottom w:val="0"/>
          <w:divBdr>
            <w:top w:val="none" w:sz="0" w:space="0" w:color="auto"/>
            <w:left w:val="none" w:sz="0" w:space="0" w:color="auto"/>
            <w:bottom w:val="none" w:sz="0" w:space="0" w:color="auto"/>
            <w:right w:val="none" w:sz="0" w:space="0" w:color="auto"/>
          </w:divBdr>
          <w:divsChild>
            <w:div w:id="15394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Éducation Nationale</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Yaume</dc:creator>
  <cp:lastModifiedBy>Yaume</cp:lastModifiedBy>
  <cp:revision>2</cp:revision>
  <cp:lastPrinted>2017-05-08T18:56:00Z</cp:lastPrinted>
  <dcterms:created xsi:type="dcterms:W3CDTF">2020-04-06T10:11:00Z</dcterms:created>
  <dcterms:modified xsi:type="dcterms:W3CDTF">2020-04-06T10:11:00Z</dcterms:modified>
</cp:coreProperties>
</file>